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32.523057956014"/>
        <w:gridCol w:w="1293.1678665720701"/>
        <w:gridCol w:w="1399.82088649554"/>
        <w:tblGridChange w:id="0">
          <w:tblGrid>
            <w:gridCol w:w="6332.523057956014"/>
            <w:gridCol w:w="1293.1678665720701"/>
            <w:gridCol w:w="1399.82088649554"/>
          </w:tblGrid>
        </w:tblGridChange>
      </w:tblGrid>
      <w:tr>
        <w:trPr>
          <w:trHeight w:val="1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keepNext w:val="0"/>
              <w:widowControl w:val="1"/>
              <w:spacing w:after="120" w:before="480" w:line="276" w:lineRule="auto"/>
              <w:rPr>
                <w:rFonts w:ascii="Calibri" w:cs="Calibri" w:eastAsia="Calibri" w:hAnsi="Calibri"/>
                <w:sz w:val="46"/>
                <w:szCs w:val="46"/>
              </w:rPr>
            </w:pPr>
            <w:bookmarkStart w:colFirst="0" w:colLast="0" w:name="_heading=h.f0icfsc2hw2o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46"/>
                <w:szCs w:val="46"/>
                <w:rtl w:val="0"/>
              </w:rPr>
              <w:t xml:space="preserve">Commissioned Services and Costs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 for independent or free school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Price for maintained or academy*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Hourly 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£80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Half Day Rate (4.5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£360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day rate (7.5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Training courses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Click here for descriptors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Bespoke courses will be charged at an hourly 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£80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Safeguarding Refresher course (2.5 hours)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£200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Specialist Topic  (E.g, FGM, CSE, DA) awareness level – (2.5 hours)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Advanced Practitioners/ Lead Practitioners training (7.5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Safeguarding Reviews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Click here for example framework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Half Day Rate &amp; Write up (7.5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£360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 day rate &amp; write up - (12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£1200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Day  (full) review &amp; write up (22.5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£2400</w:t>
            </w:r>
          </w:p>
        </w:tc>
      </w:tr>
      <w:tr>
        <w:trPr>
          <w:trHeight w:val="168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N.B, timings will include break times as negotiated with the commissioner to support effective learning.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*(20% discount to reflect contribution to the funding of the Safeguarding in Education team via the Designated Schools Grant)</w:t>
            </w:r>
          </w:p>
        </w:tc>
      </w:tr>
    </w:tbl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2101F3"/>
    <w:pPr>
      <w:keepNext w:val="1"/>
      <w:widowControl w:val="0"/>
      <w:suppressAutoHyphens w:val="1"/>
      <w:spacing w:after="60" w:before="240" w:line="240" w:lineRule="auto"/>
      <w:outlineLvl w:val="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C21826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21826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Heading1Char" w:customStyle="1">
    <w:name w:val="Heading 1 Char"/>
    <w:basedOn w:val="DefaultParagraphFont"/>
    <w:link w:val="Heading1"/>
    <w:rsid w:val="002101F3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2101F3"/>
    <w:pPr>
      <w:ind w:left="720"/>
      <w:contextualSpacing w:val="1"/>
    </w:pPr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B607A9"/>
    <w:rPr>
      <w:color w:val="0000ff" w:themeColor="hyperlink"/>
      <w:u w:val="single"/>
    </w:rPr>
  </w:style>
  <w:style w:type="paragraph" w:styleId="TableContents" w:customStyle="1">
    <w:name w:val="Table Contents"/>
    <w:basedOn w:val="Normal"/>
    <w:rsid w:val="00B607A9"/>
    <w:pPr>
      <w:widowControl w:val="0"/>
      <w:suppressLineNumbers w:val="1"/>
      <w:suppressAutoHyphens w:val="1"/>
      <w:spacing w:after="0" w:line="240" w:lineRule="auto"/>
    </w:pPr>
    <w:rPr>
      <w:rFonts w:ascii="Arial" w:cs="Times New Roman" w:eastAsia="Andale Sans UI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zCdZ0kK3HTdIAbUVdOsapVzxQ==">AMUW2mWeVoKtQY7BqMH3GrbJCZZFZVxo2MH+HZBxSZz9Me2kq28pQuRwLdQiic0tK1QVCrtuVVzczTNVCDdBlqzSzIrLAdg4kTrFauK68paqjSa2ZmyLW9jmY+YVlLCSCs5pSAbCo74/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2020-12-31T17:24:00Z</dcterms:created>
  <dc:creator>Henry Chan</dc:creator>
</cp:coreProperties>
</file>