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F613" w14:textId="5EAED070" w:rsidR="002418D8" w:rsidRDefault="002418D8" w:rsidP="002418D8">
      <w:pPr>
        <w:pStyle w:val="Footer"/>
        <w:rPr>
          <w:sz w:val="20"/>
          <w:szCs w:val="20"/>
        </w:rPr>
      </w:pPr>
    </w:p>
    <w:p w14:paraId="36622123" w14:textId="21529772" w:rsidR="002418D8" w:rsidRPr="006F595F" w:rsidRDefault="002418D8" w:rsidP="002418D8">
      <w:pPr>
        <w:pStyle w:val="Header"/>
        <w:rPr>
          <w:b/>
          <w:bCs/>
          <w:sz w:val="40"/>
          <w:szCs w:val="40"/>
        </w:rPr>
      </w:pPr>
      <w:r w:rsidRPr="006F595F">
        <w:rPr>
          <w:b/>
          <w:bCs/>
          <w:sz w:val="40"/>
          <w:szCs w:val="40"/>
        </w:rPr>
        <w:t>Sharing of Safeguarding and Child Protection information - Transition</w:t>
      </w:r>
      <w:r w:rsidR="00D269C1">
        <w:rPr>
          <w:b/>
          <w:bCs/>
          <w:sz w:val="40"/>
          <w:szCs w:val="40"/>
        </w:rPr>
        <w:t>s</w:t>
      </w:r>
      <w:r w:rsidRPr="006F595F">
        <w:rPr>
          <w:b/>
          <w:bCs/>
          <w:sz w:val="40"/>
          <w:szCs w:val="40"/>
        </w:rPr>
        <w:t xml:space="preserve">. </w:t>
      </w:r>
    </w:p>
    <w:p w14:paraId="1696E880" w14:textId="77777777" w:rsidR="002418D8" w:rsidRDefault="002418D8" w:rsidP="002418D8">
      <w:pPr>
        <w:pStyle w:val="Footer"/>
        <w:rPr>
          <w:sz w:val="20"/>
          <w:szCs w:val="20"/>
        </w:rPr>
      </w:pPr>
    </w:p>
    <w:p w14:paraId="74CE5BC3" w14:textId="06F59662" w:rsidR="002418D8" w:rsidRDefault="002418D8" w:rsidP="002418D8">
      <w:pPr>
        <w:pStyle w:val="Footer"/>
        <w:rPr>
          <w:sz w:val="20"/>
          <w:szCs w:val="20"/>
        </w:rPr>
      </w:pPr>
      <w:r w:rsidRPr="002418D8">
        <w:rPr>
          <w:sz w:val="20"/>
          <w:szCs w:val="20"/>
        </w:rPr>
        <w:t xml:space="preserve">This resource has been created under the KBSP Education Reference Group to support and safeguarding learners. If you have any further queries about the process, please contact the </w:t>
      </w:r>
      <w:hyperlink r:id="rId11" w:history="1">
        <w:r w:rsidRPr="002418D8">
          <w:rPr>
            <w:rStyle w:val="Hyperlink"/>
            <w:sz w:val="20"/>
            <w:szCs w:val="20"/>
          </w:rPr>
          <w:t>safeguardingineducationteam@bristol.gov.uk</w:t>
        </w:r>
      </w:hyperlink>
    </w:p>
    <w:p w14:paraId="5BFEEE56" w14:textId="77777777" w:rsidR="002418D8" w:rsidRPr="002418D8" w:rsidRDefault="002418D8" w:rsidP="002418D8">
      <w:pPr>
        <w:pStyle w:val="Footer"/>
        <w:rPr>
          <w:sz w:val="20"/>
          <w:szCs w:val="20"/>
        </w:rPr>
      </w:pPr>
    </w:p>
    <w:tbl>
      <w:tblPr>
        <w:tblW w:w="14454" w:type="dxa"/>
        <w:tblCellMar>
          <w:top w:w="15" w:type="dxa"/>
          <w:left w:w="15" w:type="dxa"/>
          <w:bottom w:w="15" w:type="dxa"/>
          <w:right w:w="15" w:type="dxa"/>
        </w:tblCellMar>
        <w:tblLook w:val="04A0" w:firstRow="1" w:lastRow="0" w:firstColumn="1" w:lastColumn="0" w:noHBand="0" w:noVBand="1"/>
      </w:tblPr>
      <w:tblGrid>
        <w:gridCol w:w="1980"/>
        <w:gridCol w:w="6662"/>
        <w:gridCol w:w="5812"/>
      </w:tblGrid>
      <w:tr w:rsidR="00260937" w:rsidRPr="006771BA" w14:paraId="7B3F99E4" w14:textId="77777777" w:rsidTr="000E02F1">
        <w:tc>
          <w:tcPr>
            <w:tcW w:w="144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2D7C2" w14:textId="7ED9BB13" w:rsidR="00B46973" w:rsidRPr="00B019EF" w:rsidRDefault="00B46973" w:rsidP="00B46973">
            <w:pPr>
              <w:spacing w:after="0" w:line="240" w:lineRule="auto"/>
              <w:jc w:val="center"/>
              <w:rPr>
                <w:rFonts w:ascii="Calibri" w:eastAsia="Times New Roman" w:hAnsi="Calibri" w:cs="Times New Roman"/>
                <w:b/>
                <w:bCs/>
                <w:color w:val="C00000"/>
                <w:sz w:val="28"/>
                <w:szCs w:val="28"/>
                <w:lang w:eastAsia="en-GB"/>
              </w:rPr>
            </w:pPr>
            <w:r w:rsidRPr="00B019EF">
              <w:rPr>
                <w:rFonts w:ascii="Calibri" w:eastAsia="Times New Roman" w:hAnsi="Calibri" w:cs="Times New Roman"/>
                <w:b/>
                <w:bCs/>
                <w:color w:val="C00000"/>
                <w:sz w:val="28"/>
                <w:szCs w:val="28"/>
                <w:lang w:eastAsia="en-GB"/>
              </w:rPr>
              <w:t>A</w:t>
            </w:r>
            <w:r w:rsidR="00260937" w:rsidRPr="00B019EF">
              <w:rPr>
                <w:rFonts w:ascii="Calibri" w:eastAsia="Times New Roman" w:hAnsi="Calibri" w:cs="Times New Roman"/>
                <w:b/>
                <w:bCs/>
                <w:color w:val="C00000"/>
                <w:sz w:val="28"/>
                <w:szCs w:val="28"/>
                <w:lang w:eastAsia="en-GB"/>
              </w:rPr>
              <w:t>dvanced Sharing of Safeguarding information</w:t>
            </w:r>
            <w:r w:rsidRPr="00B019EF">
              <w:rPr>
                <w:rFonts w:ascii="Calibri" w:eastAsia="Times New Roman" w:hAnsi="Calibri" w:cs="Times New Roman"/>
                <w:b/>
                <w:bCs/>
                <w:color w:val="C00000"/>
                <w:sz w:val="28"/>
                <w:szCs w:val="28"/>
                <w:lang w:eastAsia="en-GB"/>
              </w:rPr>
              <w:t xml:space="preserve"> </w:t>
            </w:r>
          </w:p>
          <w:p w14:paraId="2A1B7AB7" w14:textId="5C46A32D" w:rsidR="00260937" w:rsidRPr="00B019EF" w:rsidRDefault="00B46973" w:rsidP="00B46973">
            <w:pPr>
              <w:spacing w:after="0" w:line="240" w:lineRule="auto"/>
              <w:jc w:val="center"/>
              <w:rPr>
                <w:rFonts w:ascii="Calibri" w:eastAsia="Times New Roman" w:hAnsi="Calibri" w:cs="Times New Roman"/>
                <w:color w:val="C00000"/>
                <w:sz w:val="24"/>
                <w:szCs w:val="24"/>
                <w:lang w:eastAsia="en-GB"/>
              </w:rPr>
            </w:pPr>
            <w:r w:rsidRPr="00B019EF">
              <w:rPr>
                <w:rFonts w:ascii="Calibri" w:eastAsia="Times New Roman" w:hAnsi="Calibri" w:cs="Times New Roman"/>
                <w:color w:val="C00000"/>
                <w:sz w:val="24"/>
                <w:szCs w:val="24"/>
                <w:lang w:eastAsia="en-GB"/>
              </w:rPr>
              <w:t>(</w:t>
            </w:r>
            <w:r w:rsidR="00AB7550" w:rsidRPr="00B019EF">
              <w:rPr>
                <w:rFonts w:ascii="Calibri" w:eastAsia="Times New Roman" w:hAnsi="Calibri" w:cs="Times New Roman"/>
                <w:color w:val="C00000"/>
                <w:sz w:val="24"/>
                <w:szCs w:val="24"/>
                <w:lang w:eastAsia="en-GB"/>
              </w:rPr>
              <w:t>Supporting v</w:t>
            </w:r>
            <w:r w:rsidR="007F3229" w:rsidRPr="00B019EF">
              <w:rPr>
                <w:rFonts w:ascii="Calibri" w:eastAsia="Times New Roman" w:hAnsi="Calibri" w:cs="Times New Roman"/>
                <w:color w:val="C00000"/>
                <w:sz w:val="24"/>
                <w:szCs w:val="24"/>
                <w:lang w:eastAsia="en-GB"/>
              </w:rPr>
              <w:t>ulnerable</w:t>
            </w:r>
            <w:r w:rsidRPr="00B019EF">
              <w:rPr>
                <w:rFonts w:ascii="Calibri" w:eastAsia="Times New Roman" w:hAnsi="Calibri" w:cs="Times New Roman"/>
                <w:color w:val="C00000"/>
                <w:sz w:val="24"/>
                <w:szCs w:val="24"/>
                <w:lang w:eastAsia="en-GB"/>
              </w:rPr>
              <w:t xml:space="preserve"> learners</w:t>
            </w:r>
            <w:r w:rsidR="00C02A7B">
              <w:rPr>
                <w:rFonts w:ascii="Calibri" w:eastAsia="Times New Roman" w:hAnsi="Calibri" w:cs="Times New Roman"/>
                <w:color w:val="C00000"/>
                <w:sz w:val="24"/>
                <w:szCs w:val="24"/>
                <w:lang w:eastAsia="en-GB"/>
              </w:rPr>
              <w:t xml:space="preserve"> at standard</w:t>
            </w:r>
            <w:r w:rsidR="00AB7550" w:rsidRPr="00B019EF">
              <w:rPr>
                <w:rFonts w:ascii="Calibri" w:eastAsia="Times New Roman" w:hAnsi="Calibri" w:cs="Times New Roman"/>
                <w:color w:val="C00000"/>
                <w:sz w:val="24"/>
                <w:szCs w:val="24"/>
                <w:lang w:eastAsia="en-GB"/>
              </w:rPr>
              <w:t xml:space="preserve"> transition</w:t>
            </w:r>
            <w:r w:rsidR="00C02A7B">
              <w:rPr>
                <w:rFonts w:ascii="Calibri" w:eastAsia="Times New Roman" w:hAnsi="Calibri" w:cs="Times New Roman"/>
                <w:color w:val="C00000"/>
                <w:sz w:val="24"/>
                <w:szCs w:val="24"/>
                <w:lang w:eastAsia="en-GB"/>
              </w:rPr>
              <w:t xml:space="preserve"> points</w:t>
            </w:r>
            <w:r w:rsidRPr="00B019EF">
              <w:rPr>
                <w:rFonts w:ascii="Calibri" w:eastAsia="Times New Roman" w:hAnsi="Calibri" w:cs="Times New Roman"/>
                <w:color w:val="C00000"/>
                <w:sz w:val="24"/>
                <w:szCs w:val="24"/>
                <w:lang w:eastAsia="en-GB"/>
              </w:rPr>
              <w:t>)</w:t>
            </w:r>
          </w:p>
        </w:tc>
      </w:tr>
      <w:tr w:rsidR="00B75B97" w:rsidRPr="006771BA" w14:paraId="103748F1" w14:textId="77777777" w:rsidTr="00557797">
        <w:tc>
          <w:tcPr>
            <w:tcW w:w="1980"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42B1A9A3" w14:textId="05AC4A1C" w:rsidR="00B75B97" w:rsidRPr="00557797" w:rsidRDefault="00B75B97" w:rsidP="007F3229">
            <w:pPr>
              <w:spacing w:after="0" w:line="240" w:lineRule="auto"/>
              <w:jc w:val="center"/>
              <w:rPr>
                <w:rFonts w:ascii="Calibri" w:eastAsia="Times New Roman" w:hAnsi="Calibri" w:cs="Times New Roman"/>
                <w:color w:val="FFFFFF" w:themeColor="background1"/>
                <w:sz w:val="20"/>
                <w:szCs w:val="20"/>
                <w:lang w:eastAsia="en-GB"/>
              </w:rPr>
            </w:pPr>
            <w:bookmarkStart w:id="0" w:name="_Hlk103784535"/>
            <w:r w:rsidRPr="00557797">
              <w:rPr>
                <w:rFonts w:ascii="Calibri" w:eastAsia="Times New Roman" w:hAnsi="Calibri" w:cs="Times New Roman"/>
                <w:color w:val="FFFFFF" w:themeColor="background1"/>
                <w:sz w:val="20"/>
                <w:szCs w:val="20"/>
                <w:lang w:eastAsia="en-GB"/>
              </w:rPr>
              <w:t>Suggested Time</w:t>
            </w:r>
          </w:p>
        </w:tc>
        <w:tc>
          <w:tcPr>
            <w:tcW w:w="666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34C5BD23" w14:textId="23E52ABE" w:rsidR="00B75B97" w:rsidRPr="00557797" w:rsidRDefault="00B75B97" w:rsidP="007F3229">
            <w:pPr>
              <w:spacing w:after="0" w:line="240" w:lineRule="auto"/>
              <w:jc w:val="center"/>
              <w:rPr>
                <w:rFonts w:ascii="Calibri" w:eastAsia="Times New Roman" w:hAnsi="Calibri" w:cs="Times New Roman"/>
                <w:color w:val="FFFFFF" w:themeColor="background1"/>
                <w:sz w:val="20"/>
                <w:szCs w:val="20"/>
                <w:lang w:eastAsia="en-GB"/>
              </w:rPr>
            </w:pPr>
            <w:r w:rsidRPr="00557797">
              <w:rPr>
                <w:rFonts w:ascii="Calibri" w:eastAsia="Times New Roman" w:hAnsi="Calibri" w:cs="Times New Roman"/>
                <w:color w:val="FFFFFF" w:themeColor="background1"/>
                <w:sz w:val="20"/>
                <w:szCs w:val="20"/>
                <w:lang w:eastAsia="en-GB"/>
              </w:rPr>
              <w:t>Actions</w:t>
            </w:r>
          </w:p>
        </w:tc>
        <w:tc>
          <w:tcPr>
            <w:tcW w:w="581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14:paraId="20F5C946" w14:textId="225CDE64" w:rsidR="00B75B97" w:rsidRPr="00557797" w:rsidRDefault="00B75B97" w:rsidP="007F3229">
            <w:pPr>
              <w:spacing w:after="0" w:line="240" w:lineRule="auto"/>
              <w:jc w:val="center"/>
              <w:rPr>
                <w:rFonts w:ascii="Calibri" w:eastAsia="Times New Roman" w:hAnsi="Calibri" w:cs="Times New Roman"/>
                <w:color w:val="FFFFFF" w:themeColor="background1"/>
                <w:sz w:val="20"/>
                <w:szCs w:val="20"/>
                <w:lang w:eastAsia="en-GB"/>
              </w:rPr>
            </w:pPr>
            <w:r w:rsidRPr="00557797">
              <w:rPr>
                <w:rFonts w:ascii="Calibri" w:eastAsia="Times New Roman" w:hAnsi="Calibri" w:cs="Times New Roman"/>
                <w:color w:val="FFFFFF" w:themeColor="background1"/>
                <w:sz w:val="20"/>
                <w:szCs w:val="20"/>
                <w:lang w:eastAsia="en-GB"/>
              </w:rPr>
              <w:t>Notes</w:t>
            </w:r>
          </w:p>
        </w:tc>
      </w:tr>
      <w:bookmarkEnd w:id="0"/>
      <w:tr w:rsidR="002460E9" w:rsidRPr="006771BA" w14:paraId="4A89B06D" w14:textId="59FBBF2E" w:rsidTr="00557797">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290BADB2" w14:textId="77777777" w:rsidR="002460E9" w:rsidRPr="007A0475" w:rsidRDefault="002460E9" w:rsidP="007A0475">
            <w:pPr>
              <w:spacing w:after="0" w:line="240" w:lineRule="auto"/>
              <w:jc w:val="center"/>
              <w:rPr>
                <w:rFonts w:eastAsia="Times New Roman" w:cstheme="minorHAnsi"/>
                <w:b/>
                <w:bCs/>
                <w:color w:val="FFFFFF" w:themeColor="background1"/>
                <w:sz w:val="20"/>
                <w:szCs w:val="20"/>
                <w:lang w:eastAsia="en-GB"/>
              </w:rPr>
            </w:pPr>
            <w:r w:rsidRPr="007A0475">
              <w:rPr>
                <w:rFonts w:eastAsia="Times New Roman" w:cstheme="minorHAnsi"/>
                <w:b/>
                <w:bCs/>
                <w:color w:val="FFFFFF" w:themeColor="background1"/>
                <w:sz w:val="20"/>
                <w:szCs w:val="20"/>
                <w:lang w:eastAsia="en-GB"/>
              </w:rPr>
              <w:t>Term 5</w:t>
            </w:r>
          </w:p>
          <w:p w14:paraId="61D198EA" w14:textId="77777777" w:rsidR="002460E9" w:rsidRPr="007A0475" w:rsidRDefault="002460E9" w:rsidP="007A0475">
            <w:pPr>
              <w:spacing w:after="0" w:line="240" w:lineRule="auto"/>
              <w:jc w:val="center"/>
              <w:rPr>
                <w:rFonts w:eastAsia="Times New Roman" w:cstheme="minorHAnsi"/>
                <w:color w:val="FFFFFF" w:themeColor="background1"/>
                <w:sz w:val="20"/>
                <w:szCs w:val="20"/>
                <w:lang w:eastAsia="en-GB"/>
              </w:rPr>
            </w:pPr>
          </w:p>
          <w:p w14:paraId="4DB4EEA9" w14:textId="4869E51E" w:rsidR="002460E9" w:rsidRPr="007A0475" w:rsidRDefault="00BD44AD" w:rsidP="007A0475">
            <w:pPr>
              <w:spacing w:after="0" w:line="240" w:lineRule="auto"/>
              <w:jc w:val="center"/>
              <w:rPr>
                <w:rFonts w:eastAsia="Times New Roman" w:cstheme="minorHAnsi"/>
                <w:color w:val="FFFFFF" w:themeColor="background1"/>
                <w:sz w:val="20"/>
                <w:szCs w:val="20"/>
                <w:lang w:eastAsia="en-GB"/>
              </w:rPr>
            </w:pPr>
            <w:r w:rsidRPr="007A0475">
              <w:rPr>
                <w:rFonts w:eastAsia="Times New Roman" w:cstheme="minorHAnsi"/>
                <w:color w:val="FFFFFF" w:themeColor="background1"/>
                <w:sz w:val="20"/>
                <w:szCs w:val="20"/>
                <w:lang w:eastAsia="en-GB"/>
              </w:rPr>
              <w:t>First week in May</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49D77" w14:textId="139B5458" w:rsidR="002460E9" w:rsidRPr="007A0475" w:rsidRDefault="00D269C1" w:rsidP="007162C0">
            <w:pPr>
              <w:spacing w:after="0" w:line="240" w:lineRule="auto"/>
              <w:rPr>
                <w:rFonts w:ascii="Times New Roman" w:eastAsia="Times New Roman" w:hAnsi="Times New Roman" w:cs="Times New Roman"/>
                <w:sz w:val="16"/>
                <w:szCs w:val="16"/>
                <w:lang w:eastAsia="en-GB"/>
              </w:rPr>
            </w:pPr>
            <w:r w:rsidRPr="007A0475">
              <w:rPr>
                <w:rFonts w:ascii="Calibri" w:eastAsia="Times New Roman" w:hAnsi="Calibri" w:cs="Times New Roman"/>
                <w:color w:val="000000"/>
                <w:sz w:val="16"/>
                <w:szCs w:val="16"/>
                <w:lang w:eastAsia="en-GB"/>
              </w:rPr>
              <w:t>Feeder</w:t>
            </w:r>
            <w:r w:rsidR="002460E9" w:rsidRPr="007A0475">
              <w:rPr>
                <w:rFonts w:ascii="Calibri" w:eastAsia="Times New Roman" w:hAnsi="Calibri" w:cs="Times New Roman"/>
                <w:color w:val="000000"/>
                <w:sz w:val="16"/>
                <w:szCs w:val="16"/>
                <w:lang w:eastAsia="en-GB"/>
              </w:rPr>
              <w:t xml:space="preserve"> settings review their vulnerable cohort who will be moving on to </w:t>
            </w:r>
            <w:r w:rsidR="00C02A7B" w:rsidRPr="007A0475">
              <w:rPr>
                <w:rFonts w:ascii="Calibri" w:eastAsia="Times New Roman" w:hAnsi="Calibri" w:cs="Times New Roman"/>
                <w:color w:val="000000"/>
                <w:sz w:val="16"/>
                <w:szCs w:val="16"/>
                <w:lang w:eastAsia="en-GB"/>
              </w:rPr>
              <w:t>next education</w:t>
            </w:r>
            <w:r w:rsidR="002460E9" w:rsidRPr="007A0475">
              <w:rPr>
                <w:rFonts w:ascii="Calibri" w:eastAsia="Times New Roman" w:hAnsi="Calibri" w:cs="Times New Roman"/>
                <w:color w:val="000000"/>
                <w:sz w:val="16"/>
                <w:szCs w:val="16"/>
                <w:lang w:eastAsia="en-GB"/>
              </w:rPr>
              <w:t xml:space="preserve"> </w:t>
            </w:r>
            <w:r w:rsidR="00A21DD7" w:rsidRPr="007A0475">
              <w:rPr>
                <w:rFonts w:ascii="Calibri" w:eastAsia="Times New Roman" w:hAnsi="Calibri" w:cs="Times New Roman"/>
                <w:color w:val="000000"/>
                <w:sz w:val="16"/>
                <w:szCs w:val="16"/>
                <w:lang w:eastAsia="en-GB"/>
              </w:rPr>
              <w:t xml:space="preserve">setting </w:t>
            </w:r>
            <w:r w:rsidR="002460E9" w:rsidRPr="007A0475">
              <w:rPr>
                <w:rFonts w:ascii="Calibri" w:eastAsia="Times New Roman" w:hAnsi="Calibri" w:cs="Times New Roman"/>
                <w:color w:val="000000"/>
                <w:sz w:val="16"/>
                <w:szCs w:val="16"/>
                <w:lang w:eastAsia="en-GB"/>
              </w:rPr>
              <w:t>(</w:t>
            </w:r>
            <w:proofErr w:type="spellStart"/>
            <w:r w:rsidR="00C02A7B" w:rsidRPr="007A0475">
              <w:rPr>
                <w:rFonts w:ascii="Calibri" w:eastAsia="Times New Roman" w:hAnsi="Calibri" w:cs="Times New Roman"/>
                <w:b/>
                <w:bCs/>
                <w:color w:val="000000"/>
                <w:sz w:val="16"/>
                <w:szCs w:val="16"/>
                <w:lang w:eastAsia="en-GB"/>
              </w:rPr>
              <w:t>e.g</w:t>
            </w:r>
            <w:proofErr w:type="spellEnd"/>
            <w:r w:rsidR="002460E9" w:rsidRPr="007A0475">
              <w:rPr>
                <w:rFonts w:ascii="Calibri" w:eastAsia="Times New Roman" w:hAnsi="Calibri" w:cs="Times New Roman"/>
                <w:b/>
                <w:bCs/>
                <w:color w:val="000000"/>
                <w:sz w:val="16"/>
                <w:szCs w:val="16"/>
                <w:lang w:eastAsia="en-GB"/>
              </w:rPr>
              <w:t xml:space="preserve"> in year 11</w:t>
            </w:r>
            <w:r w:rsidR="00A21DD7" w:rsidRPr="007A0475">
              <w:rPr>
                <w:rFonts w:ascii="Calibri" w:eastAsia="Times New Roman" w:hAnsi="Calibri" w:cs="Times New Roman"/>
                <w:b/>
                <w:bCs/>
                <w:color w:val="000000"/>
                <w:sz w:val="16"/>
                <w:szCs w:val="16"/>
                <w:lang w:eastAsia="en-GB"/>
              </w:rPr>
              <w:t>, year 6, early years</w:t>
            </w:r>
            <w:r w:rsidR="002460E9" w:rsidRPr="007A0475">
              <w:rPr>
                <w:rFonts w:ascii="Calibri" w:eastAsia="Times New Roman" w:hAnsi="Calibri" w:cs="Times New Roman"/>
                <w:color w:val="000000"/>
                <w:sz w:val="16"/>
                <w:szCs w:val="16"/>
                <w:lang w:eastAsia="en-GB"/>
              </w:rPr>
              <w:t>).  Children with active professional involvement and/</w:t>
            </w:r>
            <w:r w:rsidR="002460E9" w:rsidRPr="007A0475">
              <w:rPr>
                <w:rFonts w:ascii="Calibri" w:eastAsia="Times New Roman" w:hAnsi="Calibri" w:cs="Times New Roman"/>
                <w:color w:val="FFFFFF" w:themeColor="background1"/>
                <w:sz w:val="16"/>
                <w:szCs w:val="16"/>
                <w:lang w:eastAsia="en-GB"/>
              </w:rPr>
              <w:t>or</w:t>
            </w:r>
            <w:r w:rsidR="002460E9" w:rsidRPr="007A0475">
              <w:rPr>
                <w:rFonts w:ascii="Calibri" w:eastAsia="Times New Roman" w:hAnsi="Calibri" w:cs="Times New Roman"/>
                <w:color w:val="000000"/>
                <w:sz w:val="16"/>
                <w:szCs w:val="16"/>
                <w:lang w:eastAsia="en-GB"/>
              </w:rPr>
              <w:t xml:space="preserve"> may require additional levels of support are highlighted (RAG rated).</w:t>
            </w:r>
          </w:p>
        </w:tc>
        <w:tc>
          <w:tcPr>
            <w:tcW w:w="5812" w:type="dxa"/>
            <w:vMerge w:val="restart"/>
            <w:tcBorders>
              <w:top w:val="single" w:sz="4" w:space="0" w:color="000000"/>
              <w:left w:val="single" w:sz="4" w:space="0" w:color="000000"/>
              <w:right w:val="single" w:sz="4" w:space="0" w:color="000000"/>
            </w:tcBorders>
            <w:vAlign w:val="center"/>
          </w:tcPr>
          <w:p w14:paraId="5BC79515" w14:textId="7B11BF2F" w:rsidR="002460E9" w:rsidRPr="0035423C" w:rsidRDefault="006103E9" w:rsidP="00EC75CC">
            <w:pPr>
              <w:spacing w:after="0" w:line="240" w:lineRule="auto"/>
              <w:rPr>
                <w:rFonts w:ascii="Calibri" w:eastAsia="Times New Roman" w:hAnsi="Calibri" w:cs="Times New Roman"/>
                <w:color w:val="000000"/>
                <w:sz w:val="16"/>
                <w:szCs w:val="16"/>
                <w:lang w:eastAsia="en-GB"/>
              </w:rPr>
            </w:pPr>
            <w:r w:rsidRPr="0035423C">
              <w:rPr>
                <w:rFonts w:ascii="Calibri" w:eastAsia="Times New Roman" w:hAnsi="Calibri" w:cs="Times New Roman"/>
                <w:color w:val="000000"/>
                <w:sz w:val="16"/>
                <w:szCs w:val="16"/>
                <w:lang w:eastAsia="en-GB"/>
              </w:rPr>
              <w:t>Information</w:t>
            </w:r>
            <w:r w:rsidR="002460E9" w:rsidRPr="0035423C">
              <w:rPr>
                <w:rFonts w:ascii="Calibri" w:eastAsia="Times New Roman" w:hAnsi="Calibri" w:cs="Times New Roman"/>
                <w:color w:val="000000"/>
                <w:sz w:val="16"/>
                <w:szCs w:val="16"/>
                <w:lang w:eastAsia="en-GB"/>
              </w:rPr>
              <w:t xml:space="preserve"> sharing is vital in identifying and tackling all forms of abuse and neglect, and in promoting children’s welfare, including their educational outcomes. Schools and colleges have clear powers to share, hold and use information for these purposes. (KCSIE)</w:t>
            </w:r>
          </w:p>
          <w:p w14:paraId="653AF938" w14:textId="77777777" w:rsidR="006103E9" w:rsidRDefault="006103E9" w:rsidP="00EC75CC">
            <w:pPr>
              <w:spacing w:after="0" w:line="240" w:lineRule="auto"/>
              <w:rPr>
                <w:rFonts w:ascii="Calibri" w:eastAsia="Times New Roman" w:hAnsi="Calibri" w:cs="Times New Roman"/>
                <w:color w:val="000000"/>
                <w:sz w:val="24"/>
                <w:szCs w:val="24"/>
                <w:lang w:eastAsia="en-GB"/>
              </w:rPr>
            </w:pPr>
          </w:p>
          <w:p w14:paraId="22C1ECFC" w14:textId="77777777" w:rsidR="006103E9" w:rsidRPr="0035423C" w:rsidRDefault="006103E9" w:rsidP="00EC75CC">
            <w:pPr>
              <w:spacing w:after="0" w:line="240" w:lineRule="auto"/>
              <w:rPr>
                <w:sz w:val="16"/>
                <w:szCs w:val="16"/>
              </w:rPr>
            </w:pPr>
            <w:r w:rsidRPr="0035423C">
              <w:rPr>
                <w:sz w:val="16"/>
                <w:szCs w:val="16"/>
              </w:rPr>
              <w:t xml:space="preserve">In </w:t>
            </w:r>
            <w:r w:rsidRPr="0035423C">
              <w:rPr>
                <w:b/>
                <w:bCs/>
                <w:sz w:val="16"/>
                <w:szCs w:val="16"/>
              </w:rPr>
              <w:t>addition</w:t>
            </w:r>
            <w:r w:rsidRPr="0035423C">
              <w:rPr>
                <w:sz w:val="16"/>
                <w:szCs w:val="16"/>
              </w:rPr>
              <w:t xml:space="preserve"> to the child protection file, the designated safeguarding lead should also consider if it would be appropriate to share </w:t>
            </w:r>
            <w:r w:rsidRPr="0035423C">
              <w:rPr>
                <w:b/>
                <w:bCs/>
                <w:sz w:val="16"/>
                <w:szCs w:val="16"/>
              </w:rPr>
              <w:t>any information with the new school or college in advance of a child leaving</w:t>
            </w:r>
            <w:r w:rsidRPr="0035423C">
              <w:rPr>
                <w:sz w:val="16"/>
                <w:szCs w:val="16"/>
              </w:rPr>
              <w:t>.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in Annex C.</w:t>
            </w:r>
          </w:p>
          <w:p w14:paraId="29E21D0E" w14:textId="488E7D6C" w:rsidR="006103E9" w:rsidRPr="006771BA" w:rsidRDefault="00D04420" w:rsidP="00EC75CC">
            <w:pPr>
              <w:spacing w:after="0" w:line="240" w:lineRule="auto"/>
              <w:rPr>
                <w:rFonts w:ascii="Calibri" w:eastAsia="Times New Roman" w:hAnsi="Calibri" w:cs="Times New Roman"/>
                <w:color w:val="000000"/>
                <w:sz w:val="24"/>
                <w:szCs w:val="24"/>
                <w:lang w:eastAsia="en-GB"/>
              </w:rPr>
            </w:pPr>
            <w:hyperlink r:id="rId12" w:history="1">
              <w:r w:rsidRPr="00D04420">
                <w:rPr>
                  <w:rStyle w:val="Hyperlink"/>
                  <w:sz w:val="18"/>
                  <w:szCs w:val="18"/>
                </w:rPr>
                <w:t>Keeping children safe in education - GOV.UK (www.gov.uk)</w:t>
              </w:r>
            </w:hyperlink>
          </w:p>
        </w:tc>
      </w:tr>
      <w:tr w:rsidR="002460E9" w:rsidRPr="006771BA" w14:paraId="7AFD03C1" w14:textId="628177A7" w:rsidTr="00557797">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1F422968" w14:textId="77777777" w:rsidR="002460E9" w:rsidRPr="007A0475" w:rsidRDefault="002460E9" w:rsidP="007A0475">
            <w:pPr>
              <w:spacing w:after="0" w:line="240" w:lineRule="auto"/>
              <w:jc w:val="center"/>
              <w:rPr>
                <w:rFonts w:eastAsia="Times New Roman" w:cstheme="minorHAnsi"/>
                <w:color w:val="FFFFFF" w:themeColor="background1"/>
                <w:sz w:val="20"/>
                <w:szCs w:val="20"/>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3B2C29" w14:textId="0C58DB63" w:rsidR="002460E9" w:rsidRPr="007A0475" w:rsidRDefault="002460E9" w:rsidP="007162C0">
            <w:pPr>
              <w:spacing w:after="0" w:line="240" w:lineRule="auto"/>
              <w:rPr>
                <w:rFonts w:ascii="Times New Roman" w:eastAsia="Times New Roman" w:hAnsi="Times New Roman" w:cs="Times New Roman"/>
                <w:sz w:val="16"/>
                <w:szCs w:val="16"/>
                <w:lang w:eastAsia="en-GB"/>
              </w:rPr>
            </w:pPr>
            <w:r w:rsidRPr="007A0475">
              <w:rPr>
                <w:rFonts w:ascii="Calibri" w:eastAsia="Times New Roman" w:hAnsi="Calibri" w:cs="Times New Roman"/>
                <w:color w:val="000000"/>
                <w:sz w:val="16"/>
                <w:szCs w:val="16"/>
                <w:lang w:eastAsia="en-GB"/>
              </w:rPr>
              <w:t xml:space="preserve">Highlight any students who have safeguarding information that is relevant to share in advance. Consideration should be given to proportionate sharing of relevant information that will allow </w:t>
            </w:r>
            <w:r w:rsidR="00C02A7B" w:rsidRPr="007A0475">
              <w:rPr>
                <w:rFonts w:ascii="Calibri" w:eastAsia="Times New Roman" w:hAnsi="Calibri" w:cs="Times New Roman"/>
                <w:color w:val="000000"/>
                <w:sz w:val="16"/>
                <w:szCs w:val="16"/>
                <w:lang w:eastAsia="en-GB"/>
              </w:rPr>
              <w:t>the next</w:t>
            </w:r>
            <w:r w:rsidRPr="007A0475">
              <w:rPr>
                <w:rFonts w:ascii="Calibri" w:eastAsia="Times New Roman" w:hAnsi="Calibri" w:cs="Times New Roman"/>
                <w:color w:val="000000"/>
                <w:sz w:val="16"/>
                <w:szCs w:val="16"/>
                <w:lang w:eastAsia="en-GB"/>
              </w:rPr>
              <w:t xml:space="preserve"> settings to put advance and/or continued support in place. </w:t>
            </w:r>
          </w:p>
          <w:p w14:paraId="2119EF46" w14:textId="30FC3651" w:rsidR="002460E9" w:rsidRPr="007A0475" w:rsidRDefault="002460E9" w:rsidP="007162C0">
            <w:pPr>
              <w:spacing w:after="0" w:line="240" w:lineRule="auto"/>
              <w:rPr>
                <w:rFonts w:ascii="Times New Roman" w:eastAsia="Times New Roman" w:hAnsi="Times New Roman" w:cs="Times New Roman"/>
                <w:sz w:val="16"/>
                <w:szCs w:val="16"/>
                <w:lang w:eastAsia="en-GB"/>
              </w:rPr>
            </w:pPr>
          </w:p>
        </w:tc>
        <w:tc>
          <w:tcPr>
            <w:tcW w:w="5812" w:type="dxa"/>
            <w:vMerge/>
            <w:tcBorders>
              <w:left w:val="single" w:sz="4" w:space="0" w:color="000000"/>
              <w:bottom w:val="single" w:sz="4" w:space="0" w:color="000000"/>
              <w:right w:val="single" w:sz="4" w:space="0" w:color="000000"/>
            </w:tcBorders>
            <w:vAlign w:val="center"/>
          </w:tcPr>
          <w:p w14:paraId="1BD82C25" w14:textId="4838A6B1" w:rsidR="002460E9" w:rsidRPr="006771BA" w:rsidRDefault="002460E9" w:rsidP="00EC75CC">
            <w:pPr>
              <w:spacing w:after="0" w:line="240" w:lineRule="auto"/>
              <w:rPr>
                <w:rFonts w:ascii="Calibri" w:eastAsia="Times New Roman" w:hAnsi="Calibri" w:cs="Times New Roman"/>
                <w:color w:val="000000"/>
                <w:sz w:val="24"/>
                <w:szCs w:val="24"/>
                <w:lang w:eastAsia="en-GB"/>
              </w:rPr>
            </w:pPr>
          </w:p>
        </w:tc>
      </w:tr>
      <w:tr w:rsidR="00A4153A" w:rsidRPr="006771BA" w14:paraId="7935285D" w14:textId="4F223F30" w:rsidTr="00557797">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5785ED36" w14:textId="55638B8B" w:rsidR="00A4153A" w:rsidRPr="007A0475" w:rsidRDefault="00761F65" w:rsidP="007A0475">
            <w:pPr>
              <w:spacing w:after="0" w:line="240" w:lineRule="auto"/>
              <w:jc w:val="center"/>
              <w:rPr>
                <w:rFonts w:eastAsia="Times New Roman" w:cstheme="minorHAnsi"/>
                <w:color w:val="FFFFFF" w:themeColor="background1"/>
                <w:sz w:val="20"/>
                <w:szCs w:val="20"/>
                <w:lang w:eastAsia="en-GB"/>
              </w:rPr>
            </w:pPr>
            <w:r w:rsidRPr="007A0475">
              <w:rPr>
                <w:rFonts w:eastAsia="Times New Roman" w:cstheme="minorHAnsi"/>
                <w:color w:val="FFFFFF" w:themeColor="background1"/>
                <w:sz w:val="20"/>
                <w:szCs w:val="20"/>
                <w:lang w:eastAsia="en-GB"/>
              </w:rPr>
              <w:t>Second week in May</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B3A57" w14:textId="77777777" w:rsidR="00730E9A" w:rsidRPr="007A0475" w:rsidRDefault="00A4153A" w:rsidP="007162C0">
            <w:pPr>
              <w:spacing w:after="0" w:line="240" w:lineRule="auto"/>
              <w:rPr>
                <w:rFonts w:ascii="Calibri" w:eastAsia="Times New Roman" w:hAnsi="Calibri" w:cs="Times New Roman"/>
                <w:color w:val="000000"/>
                <w:sz w:val="16"/>
                <w:szCs w:val="16"/>
                <w:lang w:eastAsia="en-GB"/>
              </w:rPr>
            </w:pPr>
            <w:r w:rsidRPr="007A0475">
              <w:rPr>
                <w:rFonts w:ascii="Calibri" w:eastAsia="Times New Roman" w:hAnsi="Calibri" w:cs="Times New Roman"/>
                <w:color w:val="000000"/>
                <w:sz w:val="16"/>
                <w:szCs w:val="16"/>
                <w:lang w:eastAsia="en-GB"/>
              </w:rPr>
              <w:t>For those pupils identified in the first two actions</w:t>
            </w:r>
            <w:r w:rsidR="00730E9A" w:rsidRPr="007A0475">
              <w:rPr>
                <w:rFonts w:ascii="Calibri" w:eastAsia="Times New Roman" w:hAnsi="Calibri" w:cs="Times New Roman"/>
                <w:color w:val="000000"/>
                <w:sz w:val="16"/>
                <w:szCs w:val="16"/>
                <w:lang w:eastAsia="en-GB"/>
              </w:rPr>
              <w:t xml:space="preserve"> </w:t>
            </w:r>
            <w:r w:rsidRPr="007A0475">
              <w:rPr>
                <w:rFonts w:ascii="Calibri" w:eastAsia="Times New Roman" w:hAnsi="Calibri" w:cs="Times New Roman"/>
                <w:color w:val="000000"/>
                <w:sz w:val="16"/>
                <w:szCs w:val="16"/>
                <w:lang w:eastAsia="en-GB"/>
              </w:rPr>
              <w:t>setting</w:t>
            </w:r>
            <w:r w:rsidR="00761F65" w:rsidRPr="007A0475">
              <w:rPr>
                <w:rFonts w:ascii="Calibri" w:eastAsia="Times New Roman" w:hAnsi="Calibri" w:cs="Times New Roman"/>
                <w:color w:val="000000"/>
                <w:sz w:val="16"/>
                <w:szCs w:val="16"/>
                <w:lang w:eastAsia="en-GB"/>
              </w:rPr>
              <w:t>’s</w:t>
            </w:r>
            <w:r w:rsidRPr="007A0475">
              <w:rPr>
                <w:rFonts w:ascii="Calibri" w:eastAsia="Times New Roman" w:hAnsi="Calibri" w:cs="Times New Roman"/>
                <w:color w:val="000000"/>
                <w:sz w:val="16"/>
                <w:szCs w:val="16"/>
                <w:lang w:eastAsia="en-GB"/>
              </w:rPr>
              <w:t xml:space="preserve"> Designated Safeguarding Leads</w:t>
            </w:r>
            <w:r w:rsidR="00730E9A" w:rsidRPr="007A0475">
              <w:rPr>
                <w:rFonts w:ascii="Calibri" w:eastAsia="Times New Roman" w:hAnsi="Calibri" w:cs="Times New Roman"/>
                <w:color w:val="000000"/>
                <w:sz w:val="16"/>
                <w:szCs w:val="16"/>
                <w:lang w:eastAsia="en-GB"/>
              </w:rPr>
              <w:t xml:space="preserve">: </w:t>
            </w:r>
          </w:p>
          <w:p w14:paraId="47EA1240" w14:textId="3E679801" w:rsidR="00A4153A" w:rsidRPr="007A0475" w:rsidRDefault="00730E9A" w:rsidP="00730E9A">
            <w:pPr>
              <w:pStyle w:val="ListParagraph"/>
              <w:numPr>
                <w:ilvl w:val="0"/>
                <w:numId w:val="2"/>
              </w:numPr>
              <w:spacing w:after="0" w:line="240" w:lineRule="auto"/>
              <w:rPr>
                <w:rFonts w:ascii="Times New Roman" w:eastAsia="Times New Roman" w:hAnsi="Times New Roman" w:cs="Times New Roman"/>
                <w:sz w:val="16"/>
                <w:szCs w:val="16"/>
                <w:lang w:eastAsia="en-GB"/>
              </w:rPr>
            </w:pPr>
            <w:r w:rsidRPr="007A0475">
              <w:rPr>
                <w:rFonts w:ascii="Calibri" w:eastAsia="Times New Roman" w:hAnsi="Calibri" w:cs="Times New Roman"/>
                <w:color w:val="000000"/>
                <w:sz w:val="16"/>
                <w:szCs w:val="16"/>
                <w:lang w:eastAsia="en-GB"/>
              </w:rPr>
              <w:t>For e</w:t>
            </w:r>
            <w:r w:rsidR="004B7D7C" w:rsidRPr="007A0475">
              <w:rPr>
                <w:rFonts w:ascii="Calibri" w:eastAsia="Times New Roman" w:hAnsi="Calibri" w:cs="Times New Roman"/>
                <w:color w:val="000000"/>
                <w:sz w:val="16"/>
                <w:szCs w:val="16"/>
                <w:lang w:eastAsia="en-GB"/>
              </w:rPr>
              <w:t>arly years and primary settings, l</w:t>
            </w:r>
            <w:r w:rsidR="00190F09" w:rsidRPr="007A0475">
              <w:rPr>
                <w:rFonts w:ascii="Calibri" w:eastAsia="Times New Roman" w:hAnsi="Calibri" w:cs="Times New Roman"/>
                <w:color w:val="000000"/>
                <w:sz w:val="16"/>
                <w:szCs w:val="16"/>
                <w:lang w:eastAsia="en-GB"/>
              </w:rPr>
              <w:t>iaise with family and</w:t>
            </w:r>
            <w:r w:rsidR="002A655F" w:rsidRPr="007A0475">
              <w:rPr>
                <w:rFonts w:ascii="Calibri" w:eastAsia="Times New Roman" w:hAnsi="Calibri" w:cs="Times New Roman"/>
                <w:color w:val="000000"/>
                <w:sz w:val="16"/>
                <w:szCs w:val="16"/>
                <w:lang w:eastAsia="en-GB"/>
              </w:rPr>
              <w:t xml:space="preserve"> check on </w:t>
            </w:r>
            <w:r w:rsidR="00D358D4" w:rsidRPr="007A0475">
              <w:rPr>
                <w:rFonts w:ascii="Calibri" w:eastAsia="Times New Roman" w:hAnsi="Calibri" w:cs="Times New Roman"/>
                <w:color w:val="000000"/>
                <w:sz w:val="16"/>
                <w:szCs w:val="16"/>
                <w:lang w:eastAsia="en-GB"/>
              </w:rPr>
              <w:t>LA databases (EYES) to</w:t>
            </w:r>
            <w:r w:rsidR="00190F09" w:rsidRPr="007A0475">
              <w:rPr>
                <w:rFonts w:ascii="Calibri" w:eastAsia="Times New Roman" w:hAnsi="Calibri" w:cs="Times New Roman"/>
                <w:color w:val="000000"/>
                <w:sz w:val="16"/>
                <w:szCs w:val="16"/>
                <w:lang w:eastAsia="en-GB"/>
              </w:rPr>
              <w:t xml:space="preserve"> i</w:t>
            </w:r>
            <w:r w:rsidR="004928FD" w:rsidRPr="007A0475">
              <w:rPr>
                <w:rFonts w:ascii="Calibri" w:eastAsia="Times New Roman" w:hAnsi="Calibri" w:cs="Times New Roman"/>
                <w:color w:val="000000"/>
                <w:sz w:val="16"/>
                <w:szCs w:val="16"/>
                <w:lang w:eastAsia="en-GB"/>
              </w:rPr>
              <w:t xml:space="preserve">dentify offer </w:t>
            </w:r>
            <w:r w:rsidR="00D358D4" w:rsidRPr="007A0475">
              <w:rPr>
                <w:rFonts w:ascii="Calibri" w:eastAsia="Times New Roman" w:hAnsi="Calibri" w:cs="Times New Roman"/>
                <w:color w:val="000000"/>
                <w:sz w:val="16"/>
                <w:szCs w:val="16"/>
                <w:lang w:eastAsia="en-GB"/>
              </w:rPr>
              <w:t xml:space="preserve">and acceptance </w:t>
            </w:r>
            <w:r w:rsidR="004928FD" w:rsidRPr="007A0475">
              <w:rPr>
                <w:rFonts w:ascii="Calibri" w:eastAsia="Times New Roman" w:hAnsi="Calibri" w:cs="Times New Roman"/>
                <w:color w:val="000000"/>
                <w:sz w:val="16"/>
                <w:szCs w:val="16"/>
                <w:lang w:eastAsia="en-GB"/>
              </w:rPr>
              <w:t xml:space="preserve">for primary and or secondary students. </w:t>
            </w:r>
          </w:p>
          <w:p w14:paraId="560D3808" w14:textId="77777777" w:rsidR="004B7D7C" w:rsidRPr="007A0475" w:rsidRDefault="004B7D7C" w:rsidP="004B7D7C">
            <w:pPr>
              <w:pStyle w:val="ListParagraph"/>
              <w:numPr>
                <w:ilvl w:val="0"/>
                <w:numId w:val="2"/>
              </w:numPr>
              <w:spacing w:after="0" w:line="240" w:lineRule="auto"/>
              <w:rPr>
                <w:rFonts w:ascii="Calibri" w:eastAsia="Times New Roman" w:hAnsi="Calibri" w:cs="Times New Roman"/>
                <w:color w:val="000000"/>
                <w:sz w:val="16"/>
                <w:szCs w:val="16"/>
                <w:lang w:eastAsia="en-GB"/>
              </w:rPr>
            </w:pPr>
            <w:r w:rsidRPr="007A0475">
              <w:rPr>
                <w:rFonts w:ascii="Calibri" w:eastAsia="Times New Roman" w:hAnsi="Calibri" w:cs="Times New Roman"/>
                <w:color w:val="000000"/>
                <w:sz w:val="16"/>
                <w:szCs w:val="16"/>
                <w:lang w:eastAsia="en-GB"/>
              </w:rPr>
              <w:t>For year 11 cohort, coordinate identifying the main</w:t>
            </w:r>
            <w:r w:rsidRPr="007A0475">
              <w:rPr>
                <w:rFonts w:ascii="Calibri" w:eastAsia="Times New Roman" w:hAnsi="Calibri" w:cs="Times New Roman"/>
                <w:b/>
                <w:bCs/>
                <w:color w:val="000000"/>
                <w:sz w:val="16"/>
                <w:szCs w:val="16"/>
                <w:lang w:eastAsia="en-GB"/>
              </w:rPr>
              <w:t xml:space="preserve"> intended </w:t>
            </w:r>
            <w:r w:rsidRPr="007A0475">
              <w:rPr>
                <w:rFonts w:ascii="Calibri" w:eastAsia="Times New Roman" w:hAnsi="Calibri" w:cs="Times New Roman"/>
                <w:color w:val="000000"/>
                <w:sz w:val="16"/>
                <w:szCs w:val="16"/>
                <w:lang w:eastAsia="en-GB"/>
              </w:rPr>
              <w:t>destination</w:t>
            </w:r>
            <w:r w:rsidRPr="007A0475">
              <w:rPr>
                <w:rFonts w:ascii="Calibri" w:eastAsia="Times New Roman" w:hAnsi="Calibri" w:cs="Times New Roman"/>
                <w:b/>
                <w:bCs/>
                <w:color w:val="000000"/>
                <w:sz w:val="16"/>
                <w:szCs w:val="16"/>
                <w:lang w:eastAsia="en-GB"/>
              </w:rPr>
              <w:t xml:space="preserve"> </w:t>
            </w:r>
            <w:r w:rsidRPr="007A0475">
              <w:rPr>
                <w:rFonts w:ascii="Calibri" w:eastAsia="Times New Roman" w:hAnsi="Calibri" w:cs="Times New Roman"/>
                <w:color w:val="000000"/>
                <w:sz w:val="16"/>
                <w:szCs w:val="16"/>
                <w:lang w:eastAsia="en-GB"/>
              </w:rPr>
              <w:t>for students with relevant safeguarding information</w:t>
            </w:r>
            <w:r w:rsidRPr="007A0475">
              <w:rPr>
                <w:rFonts w:ascii="Calibri" w:eastAsia="Times New Roman" w:hAnsi="Calibri" w:cs="Times New Roman"/>
                <w:color w:val="000000"/>
                <w:sz w:val="16"/>
                <w:szCs w:val="16"/>
                <w:lang w:eastAsia="en-GB"/>
              </w:rPr>
              <w:t xml:space="preserve">. </w:t>
            </w:r>
          </w:p>
          <w:p w14:paraId="3D009238" w14:textId="77777777" w:rsidR="004B7D7C" w:rsidRPr="007A0475" w:rsidRDefault="004B7D7C" w:rsidP="004B7D7C">
            <w:pPr>
              <w:pStyle w:val="ListParagraph"/>
              <w:spacing w:after="0" w:line="240" w:lineRule="auto"/>
              <w:ind w:left="405"/>
              <w:rPr>
                <w:rFonts w:ascii="Calibri" w:eastAsia="Times New Roman" w:hAnsi="Calibri" w:cs="Times New Roman"/>
                <w:color w:val="000000"/>
                <w:sz w:val="16"/>
                <w:szCs w:val="16"/>
                <w:lang w:eastAsia="en-GB"/>
              </w:rPr>
            </w:pPr>
          </w:p>
          <w:p w14:paraId="56C37279" w14:textId="20796ACD" w:rsidR="004B7D7C" w:rsidRPr="007A0475" w:rsidRDefault="004B7D7C" w:rsidP="004B7D7C">
            <w:pPr>
              <w:spacing w:after="0" w:line="240" w:lineRule="auto"/>
              <w:ind w:left="45"/>
              <w:rPr>
                <w:rFonts w:ascii="Times New Roman" w:eastAsia="Times New Roman" w:hAnsi="Times New Roman" w:cs="Times New Roman"/>
                <w:sz w:val="16"/>
                <w:szCs w:val="16"/>
                <w:lang w:eastAsia="en-GB"/>
              </w:rPr>
            </w:pPr>
            <w:r w:rsidRPr="007A0475">
              <w:rPr>
                <w:rFonts w:ascii="Calibri" w:eastAsia="Times New Roman" w:hAnsi="Calibri" w:cs="Times New Roman"/>
                <w:color w:val="000000"/>
                <w:sz w:val="16"/>
                <w:szCs w:val="16"/>
                <w:lang w:eastAsia="en-GB"/>
              </w:rPr>
              <w:t>C</w:t>
            </w:r>
            <w:r w:rsidRPr="007A0475">
              <w:rPr>
                <w:rFonts w:ascii="Calibri" w:eastAsia="Times New Roman" w:hAnsi="Calibri" w:cs="Times New Roman"/>
                <w:color w:val="000000"/>
                <w:sz w:val="16"/>
                <w:szCs w:val="16"/>
                <w:lang w:eastAsia="en-GB"/>
              </w:rPr>
              <w:t xml:space="preserve">ontact </w:t>
            </w:r>
            <w:r w:rsidR="0036028D" w:rsidRPr="007A0475">
              <w:rPr>
                <w:rFonts w:ascii="Calibri" w:eastAsia="Times New Roman" w:hAnsi="Calibri" w:cs="Times New Roman"/>
                <w:color w:val="000000"/>
                <w:sz w:val="16"/>
                <w:szCs w:val="16"/>
                <w:lang w:eastAsia="en-GB"/>
              </w:rPr>
              <w:t>the next setting/</w:t>
            </w:r>
            <w:r w:rsidRPr="007A0475">
              <w:rPr>
                <w:rFonts w:ascii="Calibri" w:eastAsia="Times New Roman" w:hAnsi="Calibri" w:cs="Times New Roman"/>
                <w:color w:val="000000"/>
                <w:sz w:val="16"/>
                <w:szCs w:val="16"/>
                <w:lang w:eastAsia="en-GB"/>
              </w:rPr>
              <w:t>provider</w:t>
            </w:r>
            <w:r w:rsidR="0036028D" w:rsidRPr="007A0475">
              <w:rPr>
                <w:rFonts w:ascii="Calibri" w:eastAsia="Times New Roman" w:hAnsi="Calibri" w:cs="Times New Roman"/>
                <w:color w:val="000000"/>
                <w:sz w:val="16"/>
                <w:szCs w:val="16"/>
                <w:lang w:eastAsia="en-GB"/>
              </w:rPr>
              <w:t xml:space="preserve">’s Designated Safeguarding </w:t>
            </w:r>
            <w:proofErr w:type="gramStart"/>
            <w:r w:rsidR="0036028D" w:rsidRPr="007A0475">
              <w:rPr>
                <w:rFonts w:ascii="Calibri" w:eastAsia="Times New Roman" w:hAnsi="Calibri" w:cs="Times New Roman"/>
                <w:color w:val="000000"/>
                <w:sz w:val="16"/>
                <w:szCs w:val="16"/>
                <w:lang w:eastAsia="en-GB"/>
              </w:rPr>
              <w:t>Lead</w:t>
            </w:r>
            <w:proofErr w:type="gramEnd"/>
            <w:r w:rsidR="0036028D" w:rsidRPr="007A0475">
              <w:rPr>
                <w:rFonts w:ascii="Calibri" w:eastAsia="Times New Roman" w:hAnsi="Calibri" w:cs="Times New Roman"/>
                <w:color w:val="000000"/>
                <w:sz w:val="16"/>
                <w:szCs w:val="16"/>
                <w:lang w:eastAsia="en-GB"/>
              </w:rPr>
              <w:t xml:space="preserve"> </w:t>
            </w:r>
            <w:r w:rsidRPr="007A0475">
              <w:rPr>
                <w:rFonts w:ascii="Calibri" w:eastAsia="Times New Roman" w:hAnsi="Calibri" w:cs="Times New Roman"/>
                <w:color w:val="000000"/>
                <w:sz w:val="16"/>
                <w:szCs w:val="16"/>
                <w:lang w:eastAsia="en-GB"/>
              </w:rPr>
              <w:t xml:space="preserve">to arrange a meeting. </w:t>
            </w:r>
          </w:p>
          <w:p w14:paraId="79CAEEB9" w14:textId="77777777" w:rsidR="00A4153A" w:rsidRPr="007A0475" w:rsidRDefault="00A4153A" w:rsidP="007162C0">
            <w:pPr>
              <w:spacing w:after="0" w:line="240" w:lineRule="auto"/>
              <w:rPr>
                <w:rFonts w:ascii="Times New Roman" w:eastAsia="Times New Roman" w:hAnsi="Times New Roman" w:cs="Times New Roman"/>
                <w:sz w:val="16"/>
                <w:szCs w:val="16"/>
                <w:lang w:eastAsia="en-GB"/>
              </w:rPr>
            </w:pPr>
          </w:p>
        </w:tc>
        <w:tc>
          <w:tcPr>
            <w:tcW w:w="5812" w:type="dxa"/>
            <w:vMerge w:val="restart"/>
            <w:tcBorders>
              <w:top w:val="single" w:sz="4" w:space="0" w:color="000000"/>
              <w:left w:val="single" w:sz="4" w:space="0" w:color="000000"/>
              <w:right w:val="single" w:sz="4" w:space="0" w:color="000000"/>
            </w:tcBorders>
            <w:vAlign w:val="center"/>
          </w:tcPr>
          <w:p w14:paraId="6FDEF3AB" w14:textId="7E8D22F1" w:rsidR="00A4153A" w:rsidRPr="00526E63" w:rsidRDefault="00A4153A" w:rsidP="00A4153A">
            <w:pPr>
              <w:spacing w:after="0" w:line="240" w:lineRule="auto"/>
              <w:rPr>
                <w:rFonts w:ascii="Calibri" w:eastAsia="Times New Roman" w:hAnsi="Calibri" w:cs="Times New Roman"/>
                <w:color w:val="000000"/>
                <w:sz w:val="16"/>
                <w:szCs w:val="16"/>
                <w:lang w:eastAsia="en-GB"/>
              </w:rPr>
            </w:pPr>
            <w:r w:rsidRPr="00526E63">
              <w:rPr>
                <w:sz w:val="16"/>
                <w:szCs w:val="16"/>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hyperlink r:id="rId13" w:history="1">
              <w:r w:rsidR="00D04420" w:rsidRPr="00526E63">
                <w:rPr>
                  <w:rStyle w:val="Hyperlink"/>
                  <w:sz w:val="16"/>
                  <w:szCs w:val="16"/>
                </w:rPr>
                <w:t>Keeping children safe in education - GOV.UK (www.gov.uk)</w:t>
              </w:r>
            </w:hyperlink>
            <w:r w:rsidRPr="00526E63">
              <w:rPr>
                <w:sz w:val="16"/>
                <w:szCs w:val="16"/>
              </w:rPr>
              <w:t>)</w:t>
            </w:r>
          </w:p>
        </w:tc>
      </w:tr>
      <w:tr w:rsidR="00A4153A" w:rsidRPr="006771BA" w14:paraId="12F257AE" w14:textId="77777777" w:rsidTr="0074132C">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2AB0C5D8" w14:textId="77777777" w:rsidR="00A4153A" w:rsidRPr="007A0475" w:rsidRDefault="00A4153A" w:rsidP="007A0475">
            <w:pPr>
              <w:spacing w:after="0" w:line="240" w:lineRule="auto"/>
              <w:jc w:val="center"/>
              <w:rPr>
                <w:rFonts w:eastAsia="Times New Roman" w:cstheme="minorHAnsi"/>
                <w:color w:val="FFFFFF" w:themeColor="background1"/>
                <w:sz w:val="20"/>
                <w:szCs w:val="20"/>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2BB12" w14:textId="22B9C4C6" w:rsidR="00A4153A" w:rsidRPr="007A0475" w:rsidRDefault="00A4153A" w:rsidP="007162C0">
            <w:pPr>
              <w:spacing w:after="0" w:line="240" w:lineRule="auto"/>
              <w:rPr>
                <w:rFonts w:ascii="Calibri" w:eastAsia="Times New Roman" w:hAnsi="Calibri" w:cs="Times New Roman"/>
                <w:color w:val="000000"/>
                <w:sz w:val="16"/>
                <w:szCs w:val="16"/>
                <w:lang w:eastAsia="en-GB"/>
              </w:rPr>
            </w:pPr>
            <w:r w:rsidRPr="007A0475">
              <w:rPr>
                <w:rFonts w:ascii="Calibri" w:eastAsia="Times New Roman" w:hAnsi="Calibri" w:cs="Times New Roman"/>
                <w:color w:val="000000"/>
                <w:sz w:val="16"/>
                <w:szCs w:val="16"/>
                <w:lang w:eastAsia="en-GB"/>
              </w:rPr>
              <w:t>Consider developing and using a Pupil Passport ‘what works for me’ (strategies and support that the pupil co-constructs)</w:t>
            </w:r>
          </w:p>
        </w:tc>
        <w:tc>
          <w:tcPr>
            <w:tcW w:w="5812" w:type="dxa"/>
            <w:vMerge/>
            <w:tcBorders>
              <w:left w:val="single" w:sz="4" w:space="0" w:color="000000"/>
              <w:right w:val="single" w:sz="4" w:space="0" w:color="000000"/>
            </w:tcBorders>
            <w:vAlign w:val="center"/>
          </w:tcPr>
          <w:p w14:paraId="2FEF85F2" w14:textId="77777777" w:rsidR="00A4153A" w:rsidRPr="006B260F" w:rsidRDefault="00A4153A" w:rsidP="007162C0">
            <w:pPr>
              <w:spacing w:after="0" w:line="240" w:lineRule="auto"/>
              <w:rPr>
                <w:sz w:val="18"/>
                <w:szCs w:val="18"/>
              </w:rPr>
            </w:pPr>
          </w:p>
        </w:tc>
      </w:tr>
      <w:tr w:rsidR="00A4153A" w:rsidRPr="006771BA" w14:paraId="76F6E7D3" w14:textId="5736E227" w:rsidTr="0074132C">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40F72A1D" w14:textId="77777777" w:rsidR="00A4153A" w:rsidRPr="007A0475" w:rsidRDefault="00A4153A" w:rsidP="007A0475">
            <w:pPr>
              <w:spacing w:after="0" w:line="240" w:lineRule="auto"/>
              <w:jc w:val="center"/>
              <w:rPr>
                <w:rFonts w:eastAsia="Times New Roman" w:cstheme="minorHAnsi"/>
                <w:b/>
                <w:bCs/>
                <w:color w:val="FFFFFF" w:themeColor="background1"/>
                <w:sz w:val="20"/>
                <w:szCs w:val="20"/>
                <w:lang w:eastAsia="en-GB"/>
              </w:rPr>
            </w:pPr>
            <w:r w:rsidRPr="007A0475">
              <w:rPr>
                <w:rFonts w:eastAsia="Times New Roman" w:cstheme="minorHAnsi"/>
                <w:b/>
                <w:bCs/>
                <w:color w:val="FFFFFF" w:themeColor="background1"/>
                <w:sz w:val="20"/>
                <w:szCs w:val="20"/>
                <w:lang w:eastAsia="en-GB"/>
              </w:rPr>
              <w:t>Before the summer holidays</w:t>
            </w:r>
          </w:p>
          <w:p w14:paraId="6F49F87C" w14:textId="77777777" w:rsidR="00A4153A" w:rsidRPr="007A0475" w:rsidRDefault="00A4153A" w:rsidP="007A0475">
            <w:pPr>
              <w:spacing w:after="0" w:line="240" w:lineRule="auto"/>
              <w:jc w:val="center"/>
              <w:rPr>
                <w:rFonts w:eastAsia="Times New Roman" w:cstheme="minorHAnsi"/>
                <w:b/>
                <w:bCs/>
                <w:color w:val="FFFFFF" w:themeColor="background1"/>
                <w:sz w:val="20"/>
                <w:szCs w:val="20"/>
                <w:lang w:eastAsia="en-GB"/>
              </w:rPr>
            </w:pPr>
          </w:p>
          <w:p w14:paraId="075A6D0D" w14:textId="5F28CE25" w:rsidR="00A4153A" w:rsidRPr="007A0475" w:rsidRDefault="00A4153A" w:rsidP="007A0475">
            <w:pPr>
              <w:spacing w:after="0" w:line="240" w:lineRule="auto"/>
              <w:jc w:val="center"/>
              <w:rPr>
                <w:rFonts w:eastAsia="Times New Roman" w:cstheme="minorHAnsi"/>
                <w:color w:val="FFFFFF" w:themeColor="background1"/>
                <w:sz w:val="20"/>
                <w:szCs w:val="20"/>
                <w:lang w:eastAsia="en-GB"/>
              </w:rPr>
            </w:pPr>
            <w:r w:rsidRPr="007A0475">
              <w:rPr>
                <w:rFonts w:eastAsia="Times New Roman" w:cstheme="minorHAnsi"/>
                <w:b/>
                <w:bCs/>
                <w:color w:val="FFFFFF" w:themeColor="background1"/>
                <w:sz w:val="20"/>
                <w:szCs w:val="20"/>
                <w:lang w:eastAsia="en-GB"/>
              </w:rPr>
              <w:t>Term 6</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2E8BF6" w14:textId="77777777" w:rsidR="007303FB" w:rsidRPr="007A0475" w:rsidRDefault="00A4153A" w:rsidP="007162C0">
            <w:pPr>
              <w:spacing w:after="0" w:line="240" w:lineRule="auto"/>
              <w:rPr>
                <w:rFonts w:ascii="Calibri" w:eastAsia="Times New Roman" w:hAnsi="Calibri" w:cs="Times New Roman"/>
                <w:color w:val="000000"/>
                <w:sz w:val="16"/>
                <w:szCs w:val="16"/>
                <w:lang w:eastAsia="en-GB"/>
              </w:rPr>
            </w:pPr>
            <w:r w:rsidRPr="007A0475">
              <w:rPr>
                <w:rFonts w:ascii="Calibri" w:eastAsia="Times New Roman" w:hAnsi="Calibri" w:cs="Times New Roman"/>
                <w:color w:val="000000"/>
                <w:sz w:val="16"/>
                <w:szCs w:val="16"/>
                <w:lang w:eastAsia="en-GB"/>
              </w:rPr>
              <w:t xml:space="preserve">Meetings have taken place between </w:t>
            </w:r>
            <w:r w:rsidR="00FA6E8D" w:rsidRPr="007A0475">
              <w:rPr>
                <w:rFonts w:ascii="Calibri" w:eastAsia="Times New Roman" w:hAnsi="Calibri" w:cs="Times New Roman"/>
                <w:color w:val="000000"/>
                <w:sz w:val="16"/>
                <w:szCs w:val="16"/>
                <w:lang w:eastAsia="en-GB"/>
              </w:rPr>
              <w:t xml:space="preserve">feeder and receiving </w:t>
            </w:r>
            <w:r w:rsidRPr="007A0475">
              <w:rPr>
                <w:rFonts w:ascii="Calibri" w:eastAsia="Times New Roman" w:hAnsi="Calibri" w:cs="Times New Roman"/>
                <w:color w:val="000000"/>
                <w:sz w:val="16"/>
                <w:szCs w:val="16"/>
                <w:lang w:eastAsia="en-GB"/>
              </w:rPr>
              <w:t xml:space="preserve">settings to share relevant information that will promote the safety and welfare of children undertaking this transition. </w:t>
            </w:r>
          </w:p>
          <w:p w14:paraId="780A9878" w14:textId="47EC4350" w:rsidR="007303FB" w:rsidRPr="007A0475" w:rsidRDefault="00A4153A" w:rsidP="007303FB">
            <w:pPr>
              <w:pStyle w:val="ListParagraph"/>
              <w:numPr>
                <w:ilvl w:val="0"/>
                <w:numId w:val="2"/>
              </w:numPr>
              <w:spacing w:after="0" w:line="240" w:lineRule="auto"/>
              <w:rPr>
                <w:rFonts w:ascii="Times New Roman" w:eastAsia="Times New Roman" w:hAnsi="Times New Roman" w:cs="Times New Roman"/>
                <w:sz w:val="16"/>
                <w:szCs w:val="16"/>
                <w:lang w:eastAsia="en-GB"/>
              </w:rPr>
            </w:pPr>
            <w:r w:rsidRPr="007A0475">
              <w:rPr>
                <w:rFonts w:ascii="Calibri" w:eastAsia="Times New Roman" w:hAnsi="Calibri" w:cs="Times New Roman"/>
                <w:b/>
                <w:bCs/>
                <w:color w:val="000000"/>
                <w:sz w:val="16"/>
                <w:szCs w:val="16"/>
                <w:lang w:eastAsia="en-GB"/>
              </w:rPr>
              <w:t>Post 16 setting notifies secondary setting of expected enrolment date.</w:t>
            </w:r>
          </w:p>
          <w:p w14:paraId="79100759" w14:textId="77777777" w:rsidR="00A4153A" w:rsidRPr="007A0475" w:rsidRDefault="00A4153A" w:rsidP="007162C0">
            <w:pPr>
              <w:spacing w:after="0" w:line="240" w:lineRule="auto"/>
              <w:rPr>
                <w:rFonts w:ascii="Times New Roman" w:eastAsia="Times New Roman" w:hAnsi="Times New Roman" w:cs="Times New Roman"/>
                <w:sz w:val="16"/>
                <w:szCs w:val="16"/>
                <w:lang w:eastAsia="en-GB"/>
              </w:rPr>
            </w:pPr>
          </w:p>
        </w:tc>
        <w:tc>
          <w:tcPr>
            <w:tcW w:w="5812" w:type="dxa"/>
            <w:vMerge/>
            <w:tcBorders>
              <w:left w:val="single" w:sz="4" w:space="0" w:color="000000"/>
              <w:right w:val="single" w:sz="4" w:space="0" w:color="000000"/>
            </w:tcBorders>
            <w:vAlign w:val="center"/>
          </w:tcPr>
          <w:p w14:paraId="6F8ED5E5"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A4153A" w:rsidRPr="006771BA" w14:paraId="009CD382" w14:textId="55B0A954" w:rsidTr="0074132C">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79288BA6" w14:textId="77777777" w:rsidR="00A4153A" w:rsidRPr="007A0475" w:rsidRDefault="00A4153A" w:rsidP="007A0475">
            <w:pPr>
              <w:spacing w:after="0" w:line="240" w:lineRule="auto"/>
              <w:jc w:val="center"/>
              <w:rPr>
                <w:rFonts w:eastAsia="Times New Roman" w:cstheme="minorHAnsi"/>
                <w:color w:val="FFFFFF" w:themeColor="background1"/>
                <w:sz w:val="20"/>
                <w:szCs w:val="20"/>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633284" w14:textId="0FA92776" w:rsidR="007303FB" w:rsidRPr="007A0475" w:rsidRDefault="00A4153A" w:rsidP="007162C0">
            <w:pPr>
              <w:spacing w:after="0" w:line="240" w:lineRule="auto"/>
              <w:rPr>
                <w:rFonts w:ascii="Calibri" w:eastAsia="Times New Roman" w:hAnsi="Calibri" w:cs="Times New Roman"/>
                <w:color w:val="000000"/>
                <w:sz w:val="16"/>
                <w:szCs w:val="16"/>
                <w:lang w:eastAsia="en-GB"/>
              </w:rPr>
            </w:pPr>
            <w:r w:rsidRPr="007A0475">
              <w:rPr>
                <w:rFonts w:ascii="Calibri" w:eastAsia="Times New Roman" w:hAnsi="Calibri" w:cs="Times New Roman"/>
                <w:color w:val="000000"/>
                <w:sz w:val="16"/>
                <w:szCs w:val="16"/>
                <w:lang w:eastAsia="en-GB"/>
              </w:rPr>
              <w:t xml:space="preserve">The information shared is recorded and stored securely by the </w:t>
            </w:r>
            <w:r w:rsidR="007303FB" w:rsidRPr="007A0475">
              <w:rPr>
                <w:rFonts w:ascii="Calibri" w:eastAsia="Times New Roman" w:hAnsi="Calibri" w:cs="Times New Roman"/>
                <w:color w:val="000000"/>
                <w:sz w:val="16"/>
                <w:szCs w:val="16"/>
                <w:lang w:eastAsia="en-GB"/>
              </w:rPr>
              <w:t>receiving setting</w:t>
            </w:r>
            <w:r w:rsidRPr="007A0475">
              <w:rPr>
                <w:rFonts w:ascii="Calibri" w:eastAsia="Times New Roman" w:hAnsi="Calibri" w:cs="Times New Roman"/>
                <w:color w:val="000000"/>
                <w:sz w:val="16"/>
                <w:szCs w:val="16"/>
                <w:lang w:eastAsia="en-GB"/>
              </w:rPr>
              <w:t xml:space="preserve"> and added to the child protection/safeguarding fil</w:t>
            </w:r>
            <w:r w:rsidR="007303FB" w:rsidRPr="007A0475">
              <w:rPr>
                <w:rFonts w:ascii="Calibri" w:eastAsia="Times New Roman" w:hAnsi="Calibri" w:cs="Times New Roman"/>
                <w:color w:val="000000"/>
                <w:sz w:val="16"/>
                <w:szCs w:val="16"/>
                <w:lang w:eastAsia="en-GB"/>
              </w:rPr>
              <w:t xml:space="preserve">e. </w:t>
            </w:r>
          </w:p>
          <w:p w14:paraId="23826534" w14:textId="31A21DD8" w:rsidR="00A4153A" w:rsidRPr="007A0475" w:rsidRDefault="007303FB" w:rsidP="007303FB">
            <w:pPr>
              <w:pStyle w:val="ListParagraph"/>
              <w:numPr>
                <w:ilvl w:val="0"/>
                <w:numId w:val="2"/>
              </w:numPr>
              <w:spacing w:after="0" w:line="240" w:lineRule="auto"/>
              <w:rPr>
                <w:rFonts w:ascii="Times New Roman" w:eastAsia="Times New Roman" w:hAnsi="Times New Roman" w:cs="Times New Roman"/>
                <w:b/>
                <w:bCs/>
                <w:sz w:val="16"/>
                <w:szCs w:val="16"/>
                <w:lang w:eastAsia="en-GB"/>
              </w:rPr>
            </w:pPr>
            <w:r w:rsidRPr="007A0475">
              <w:rPr>
                <w:rFonts w:ascii="Calibri" w:eastAsia="Times New Roman" w:hAnsi="Calibri" w:cs="Times New Roman"/>
                <w:b/>
                <w:bCs/>
                <w:color w:val="000000"/>
                <w:sz w:val="16"/>
                <w:szCs w:val="16"/>
                <w:lang w:eastAsia="en-GB"/>
              </w:rPr>
              <w:t xml:space="preserve">For post 16 settings, when the child enrols. </w:t>
            </w:r>
          </w:p>
          <w:p w14:paraId="5C714625" w14:textId="77777777" w:rsidR="00A4153A" w:rsidRPr="007A0475" w:rsidRDefault="00A4153A" w:rsidP="007162C0">
            <w:pPr>
              <w:spacing w:after="0" w:line="240" w:lineRule="auto"/>
              <w:rPr>
                <w:rFonts w:ascii="Times New Roman" w:eastAsia="Times New Roman" w:hAnsi="Times New Roman" w:cs="Times New Roman"/>
                <w:sz w:val="16"/>
                <w:szCs w:val="16"/>
                <w:lang w:eastAsia="en-GB"/>
              </w:rPr>
            </w:pPr>
          </w:p>
        </w:tc>
        <w:tc>
          <w:tcPr>
            <w:tcW w:w="5812" w:type="dxa"/>
            <w:vMerge/>
            <w:tcBorders>
              <w:left w:val="single" w:sz="4" w:space="0" w:color="000000"/>
              <w:right w:val="single" w:sz="4" w:space="0" w:color="000000"/>
            </w:tcBorders>
            <w:vAlign w:val="center"/>
          </w:tcPr>
          <w:p w14:paraId="755CCE29"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A4153A" w:rsidRPr="006771BA" w14:paraId="1BFA86D9" w14:textId="045DE226" w:rsidTr="0074132C">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5AC9AC65" w14:textId="3B794AB7" w:rsidR="00A4153A" w:rsidRPr="007A0475" w:rsidRDefault="00A4153A" w:rsidP="007A0475">
            <w:pPr>
              <w:spacing w:after="0" w:line="240" w:lineRule="auto"/>
              <w:jc w:val="center"/>
              <w:rPr>
                <w:rFonts w:eastAsia="Times New Roman" w:cstheme="minorHAnsi"/>
                <w:b/>
                <w:bCs/>
                <w:color w:val="FFFFFF" w:themeColor="background1"/>
                <w:sz w:val="20"/>
                <w:szCs w:val="20"/>
                <w:lang w:eastAsia="en-GB"/>
              </w:rPr>
            </w:pPr>
            <w:r w:rsidRPr="007A0475">
              <w:rPr>
                <w:rFonts w:eastAsia="Times New Roman" w:cstheme="minorHAnsi"/>
                <w:b/>
                <w:bCs/>
                <w:color w:val="FFFFFF" w:themeColor="background1"/>
                <w:sz w:val="20"/>
                <w:szCs w:val="20"/>
                <w:lang w:eastAsia="en-GB"/>
              </w:rPr>
              <w:t>New academic year</w:t>
            </w:r>
          </w:p>
          <w:p w14:paraId="1B6AE271" w14:textId="747BE031" w:rsidR="00A4153A" w:rsidRPr="007A0475" w:rsidRDefault="00A4153A" w:rsidP="007A0475">
            <w:pPr>
              <w:spacing w:after="0" w:line="240" w:lineRule="auto"/>
              <w:jc w:val="center"/>
              <w:rPr>
                <w:rFonts w:eastAsia="Times New Roman" w:cstheme="minorHAnsi"/>
                <w:color w:val="FFFFFF" w:themeColor="background1"/>
                <w:sz w:val="20"/>
                <w:szCs w:val="20"/>
                <w:lang w:eastAsia="en-GB"/>
              </w:rPr>
            </w:pPr>
            <w:r w:rsidRPr="007A0475">
              <w:rPr>
                <w:rFonts w:eastAsia="Times New Roman" w:cstheme="minorHAnsi"/>
                <w:color w:val="FFFFFF" w:themeColor="background1"/>
                <w:sz w:val="20"/>
                <w:szCs w:val="20"/>
                <w:lang w:eastAsia="en-GB"/>
              </w:rPr>
              <w:t>W/C 01/09/2022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DD613" w14:textId="61225BE3" w:rsidR="00A4153A" w:rsidRPr="007A0475" w:rsidRDefault="00A4153A" w:rsidP="007162C0">
            <w:pPr>
              <w:spacing w:after="0" w:line="240" w:lineRule="auto"/>
              <w:rPr>
                <w:rFonts w:ascii="Times New Roman" w:eastAsia="Times New Roman" w:hAnsi="Times New Roman" w:cs="Times New Roman"/>
                <w:sz w:val="16"/>
                <w:szCs w:val="16"/>
                <w:lang w:eastAsia="en-GB"/>
              </w:rPr>
            </w:pPr>
            <w:r w:rsidRPr="007A0475">
              <w:rPr>
                <w:rFonts w:ascii="Calibri" w:eastAsia="Times New Roman" w:hAnsi="Calibri" w:cs="Times New Roman"/>
                <w:color w:val="000000"/>
                <w:sz w:val="16"/>
                <w:szCs w:val="16"/>
                <w:lang w:eastAsia="en-GB"/>
              </w:rPr>
              <w:t xml:space="preserve">If the child does not enrol in the new academic year the information is deleted and the informs the </w:t>
            </w:r>
            <w:r w:rsidR="00366A77" w:rsidRPr="007A0475">
              <w:rPr>
                <w:rFonts w:ascii="Calibri" w:eastAsia="Times New Roman" w:hAnsi="Calibri" w:cs="Times New Roman"/>
                <w:color w:val="000000"/>
                <w:sz w:val="16"/>
                <w:szCs w:val="16"/>
                <w:lang w:eastAsia="en-GB"/>
              </w:rPr>
              <w:t>feeder</w:t>
            </w:r>
            <w:r w:rsidRPr="007A0475">
              <w:rPr>
                <w:rFonts w:ascii="Calibri" w:eastAsia="Times New Roman" w:hAnsi="Calibri" w:cs="Times New Roman"/>
                <w:color w:val="000000"/>
                <w:sz w:val="16"/>
                <w:szCs w:val="16"/>
                <w:lang w:eastAsia="en-GB"/>
              </w:rPr>
              <w:t xml:space="preserve"> setting</w:t>
            </w:r>
          </w:p>
          <w:p w14:paraId="6C8A981D" w14:textId="77777777" w:rsidR="00A4153A" w:rsidRPr="007A0475" w:rsidRDefault="00A4153A" w:rsidP="007162C0">
            <w:pPr>
              <w:spacing w:after="0" w:line="240" w:lineRule="auto"/>
              <w:rPr>
                <w:rFonts w:ascii="Times New Roman" w:eastAsia="Times New Roman" w:hAnsi="Times New Roman" w:cs="Times New Roman"/>
                <w:sz w:val="16"/>
                <w:szCs w:val="16"/>
                <w:lang w:eastAsia="en-GB"/>
              </w:rPr>
            </w:pPr>
          </w:p>
        </w:tc>
        <w:tc>
          <w:tcPr>
            <w:tcW w:w="5812" w:type="dxa"/>
            <w:vMerge/>
            <w:tcBorders>
              <w:left w:val="single" w:sz="4" w:space="0" w:color="000000"/>
              <w:bottom w:val="single" w:sz="4" w:space="0" w:color="000000"/>
              <w:right w:val="single" w:sz="4" w:space="0" w:color="000000"/>
            </w:tcBorders>
            <w:vAlign w:val="center"/>
          </w:tcPr>
          <w:p w14:paraId="20B98AF9"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3A7F2C" w:rsidRPr="006771BA" w14:paraId="16635ECC" w14:textId="77777777" w:rsidTr="00557797">
        <w:tc>
          <w:tcPr>
            <w:tcW w:w="144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CB40D8D" w14:textId="6DEF18A1" w:rsidR="003A7F2C" w:rsidRPr="00B019EF" w:rsidRDefault="003A7F2C" w:rsidP="007F3229">
            <w:pPr>
              <w:spacing w:after="0" w:line="240" w:lineRule="auto"/>
              <w:jc w:val="center"/>
              <w:rPr>
                <w:rFonts w:eastAsia="Times New Roman" w:cstheme="minorHAnsi"/>
                <w:b/>
                <w:bCs/>
                <w:color w:val="C00000"/>
                <w:sz w:val="28"/>
                <w:szCs w:val="28"/>
                <w:lang w:eastAsia="en-GB"/>
              </w:rPr>
            </w:pPr>
            <w:r w:rsidRPr="00B019EF">
              <w:rPr>
                <w:rFonts w:eastAsia="Times New Roman" w:cstheme="minorHAnsi"/>
                <w:b/>
                <w:bCs/>
                <w:color w:val="C00000"/>
                <w:sz w:val="28"/>
                <w:szCs w:val="28"/>
                <w:lang w:eastAsia="en-GB"/>
              </w:rPr>
              <w:lastRenderedPageBreak/>
              <w:t xml:space="preserve">Transfer of </w:t>
            </w:r>
            <w:r w:rsidR="007F3229" w:rsidRPr="00B019EF">
              <w:rPr>
                <w:rFonts w:eastAsia="Times New Roman" w:cstheme="minorHAnsi"/>
                <w:b/>
                <w:bCs/>
                <w:color w:val="C00000"/>
                <w:sz w:val="28"/>
                <w:szCs w:val="28"/>
                <w:lang w:eastAsia="en-GB"/>
              </w:rPr>
              <w:t xml:space="preserve">Safeguarding and Child Protection </w:t>
            </w:r>
            <w:r w:rsidRPr="00B019EF">
              <w:rPr>
                <w:rFonts w:eastAsia="Times New Roman" w:cstheme="minorHAnsi"/>
                <w:b/>
                <w:bCs/>
                <w:color w:val="C00000"/>
                <w:sz w:val="28"/>
                <w:szCs w:val="28"/>
                <w:lang w:eastAsia="en-GB"/>
              </w:rPr>
              <w:t>files</w:t>
            </w:r>
          </w:p>
          <w:p w14:paraId="3C0E947D" w14:textId="0921AA76" w:rsidR="007F3229" w:rsidRPr="00B019EF" w:rsidRDefault="00557797" w:rsidP="007F3229">
            <w:pPr>
              <w:spacing w:after="0" w:line="240" w:lineRule="auto"/>
              <w:jc w:val="center"/>
              <w:rPr>
                <w:rFonts w:eastAsia="Times New Roman" w:cstheme="minorHAnsi"/>
                <w:sz w:val="24"/>
                <w:szCs w:val="24"/>
                <w:lang w:eastAsia="en-GB"/>
              </w:rPr>
            </w:pPr>
            <w:r w:rsidRPr="00B019EF">
              <w:rPr>
                <w:rFonts w:eastAsia="Times New Roman" w:cstheme="minorHAnsi"/>
                <w:color w:val="C00000"/>
                <w:sz w:val="24"/>
                <w:szCs w:val="24"/>
                <w:lang w:eastAsia="en-GB"/>
              </w:rPr>
              <w:t>(</w:t>
            </w:r>
            <w:r w:rsidR="002C14F4" w:rsidRPr="00B019EF">
              <w:rPr>
                <w:rFonts w:eastAsia="Times New Roman" w:cstheme="minorHAnsi"/>
                <w:color w:val="C00000"/>
                <w:sz w:val="24"/>
                <w:szCs w:val="24"/>
                <w:lang w:eastAsia="en-GB"/>
              </w:rPr>
              <w:t>Ensuring</w:t>
            </w:r>
            <w:r w:rsidRPr="00B019EF">
              <w:rPr>
                <w:rFonts w:eastAsia="Times New Roman" w:cstheme="minorHAnsi"/>
                <w:color w:val="C00000"/>
                <w:sz w:val="24"/>
                <w:szCs w:val="24"/>
                <w:lang w:eastAsia="en-GB"/>
              </w:rPr>
              <w:t xml:space="preserve"> that </w:t>
            </w:r>
            <w:r w:rsidR="00635A59" w:rsidRPr="00B019EF">
              <w:rPr>
                <w:rFonts w:eastAsia="Times New Roman" w:cstheme="minorHAnsi"/>
                <w:color w:val="C00000"/>
                <w:sz w:val="24"/>
                <w:szCs w:val="24"/>
                <w:lang w:eastAsia="en-GB"/>
              </w:rPr>
              <w:t>information</w:t>
            </w:r>
            <w:r w:rsidR="00B019EF" w:rsidRPr="00B019EF">
              <w:rPr>
                <w:rFonts w:eastAsia="Times New Roman" w:cstheme="minorHAnsi"/>
                <w:color w:val="C00000"/>
                <w:sz w:val="24"/>
                <w:szCs w:val="24"/>
                <w:lang w:eastAsia="en-GB"/>
              </w:rPr>
              <w:t xml:space="preserve"> is shared</w:t>
            </w:r>
            <w:r w:rsidR="00635A59" w:rsidRPr="00B019EF">
              <w:rPr>
                <w:rFonts w:eastAsia="Times New Roman" w:cstheme="minorHAnsi"/>
                <w:color w:val="C00000"/>
                <w:sz w:val="24"/>
                <w:szCs w:val="24"/>
                <w:lang w:eastAsia="en-GB"/>
              </w:rPr>
              <w:t xml:space="preserve"> accurately and timely)</w:t>
            </w:r>
          </w:p>
        </w:tc>
      </w:tr>
      <w:tr w:rsidR="009009C2" w:rsidRPr="006771BA" w14:paraId="34237845" w14:textId="77777777" w:rsidTr="00742B31">
        <w:tc>
          <w:tcPr>
            <w:tcW w:w="1980"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18DAC815" w14:textId="3C780949" w:rsidR="009009C2" w:rsidRPr="004A3B58" w:rsidRDefault="009009C2" w:rsidP="009009C2">
            <w:pPr>
              <w:spacing w:after="0" w:line="240" w:lineRule="auto"/>
              <w:rPr>
                <w:rFonts w:cstheme="minorHAnsi"/>
                <w:b/>
                <w:bCs/>
                <w:color w:val="FFFFFF" w:themeColor="background1"/>
                <w:sz w:val="24"/>
                <w:szCs w:val="24"/>
              </w:rPr>
            </w:pPr>
            <w:r w:rsidRPr="00557797">
              <w:rPr>
                <w:rFonts w:ascii="Calibri" w:eastAsia="Times New Roman" w:hAnsi="Calibri" w:cs="Times New Roman"/>
                <w:color w:val="FFFFFF" w:themeColor="background1"/>
                <w:sz w:val="20"/>
                <w:szCs w:val="20"/>
                <w:lang w:eastAsia="en-GB"/>
              </w:rPr>
              <w:t>Suggested Time</w:t>
            </w:r>
          </w:p>
        </w:tc>
        <w:tc>
          <w:tcPr>
            <w:tcW w:w="666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1C3A92CA" w14:textId="64091101" w:rsidR="009009C2" w:rsidRPr="00B75B97" w:rsidRDefault="009009C2" w:rsidP="009009C2">
            <w:pPr>
              <w:pStyle w:val="NormalWeb"/>
              <w:spacing w:before="0" w:beforeAutospacing="0" w:after="0" w:afterAutospacing="0"/>
              <w:rPr>
                <w:rFonts w:ascii="Calibri" w:hAnsi="Calibri" w:cs="Calibri"/>
                <w:b/>
                <w:bCs/>
                <w:color w:val="000000"/>
                <w:sz w:val="20"/>
                <w:szCs w:val="20"/>
              </w:rPr>
            </w:pPr>
            <w:r w:rsidRPr="00557797">
              <w:rPr>
                <w:rFonts w:ascii="Calibri" w:hAnsi="Calibri"/>
                <w:color w:val="FFFFFF" w:themeColor="background1"/>
                <w:sz w:val="20"/>
                <w:szCs w:val="20"/>
              </w:rPr>
              <w:t>Actions</w:t>
            </w:r>
          </w:p>
        </w:tc>
        <w:tc>
          <w:tcPr>
            <w:tcW w:w="581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14:paraId="0E1E1BF7" w14:textId="4ADE4B40" w:rsidR="009009C2" w:rsidRPr="006771BA" w:rsidRDefault="009009C2" w:rsidP="009009C2">
            <w:pPr>
              <w:spacing w:after="0" w:line="240" w:lineRule="auto"/>
              <w:rPr>
                <w:rFonts w:ascii="Calibri" w:eastAsia="Times New Roman" w:hAnsi="Calibri" w:cs="Times New Roman"/>
                <w:color w:val="000000"/>
                <w:sz w:val="24"/>
                <w:szCs w:val="24"/>
                <w:lang w:eastAsia="en-GB"/>
              </w:rPr>
            </w:pPr>
            <w:r w:rsidRPr="00557797">
              <w:rPr>
                <w:rFonts w:ascii="Calibri" w:eastAsia="Times New Roman" w:hAnsi="Calibri" w:cs="Times New Roman"/>
                <w:color w:val="FFFFFF" w:themeColor="background1"/>
                <w:sz w:val="20"/>
                <w:szCs w:val="20"/>
                <w:lang w:eastAsia="en-GB"/>
              </w:rPr>
              <w:t>Notes</w:t>
            </w:r>
          </w:p>
        </w:tc>
      </w:tr>
      <w:tr w:rsidR="00A4153A" w:rsidRPr="006771BA" w14:paraId="75166389" w14:textId="77777777" w:rsidTr="008F7D7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51008607" w14:textId="6BD30246" w:rsidR="00A4153A" w:rsidRPr="009C72EF" w:rsidRDefault="00A4153A" w:rsidP="000D63CF">
            <w:pPr>
              <w:spacing w:after="0" w:line="240" w:lineRule="auto"/>
              <w:rPr>
                <w:rFonts w:cstheme="minorHAnsi"/>
                <w:b/>
                <w:bCs/>
                <w:color w:val="FFFFFF" w:themeColor="background1"/>
              </w:rPr>
            </w:pPr>
            <w:r w:rsidRPr="009C72EF">
              <w:rPr>
                <w:rFonts w:cstheme="minorHAnsi"/>
                <w:b/>
                <w:bCs/>
                <w:color w:val="FFFFFF" w:themeColor="background1"/>
              </w:rPr>
              <w:t>Term 6</w:t>
            </w:r>
          </w:p>
          <w:p w14:paraId="12DA0D34" w14:textId="319264ED" w:rsidR="00A4153A" w:rsidRPr="00A8143B" w:rsidRDefault="00A8143B" w:rsidP="000D63CF">
            <w:pPr>
              <w:spacing w:after="0" w:line="240" w:lineRule="auto"/>
              <w:rPr>
                <w:rFonts w:eastAsia="Times New Roman" w:cstheme="minorHAnsi"/>
                <w:color w:val="FFFFFF" w:themeColor="background1"/>
                <w:lang w:eastAsia="en-GB"/>
              </w:rPr>
            </w:pPr>
            <w:r w:rsidRPr="00A8143B">
              <w:rPr>
                <w:rFonts w:eastAsia="Times New Roman" w:cstheme="minorHAnsi"/>
                <w:color w:val="FFFFFF" w:themeColor="background1"/>
                <w:lang w:eastAsia="en-GB"/>
              </w:rPr>
              <w:t xml:space="preserve">Week 1.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2F34B" w14:textId="22E70B41" w:rsidR="00A4153A" w:rsidRPr="00526E63" w:rsidRDefault="00261466" w:rsidP="007162C0">
            <w:pPr>
              <w:pStyle w:val="NormalWeb"/>
              <w:spacing w:before="0" w:beforeAutospacing="0" w:after="0" w:afterAutospacing="0"/>
              <w:rPr>
                <w:rFonts w:ascii="Calibri" w:hAnsi="Calibri" w:cs="Calibri"/>
                <w:color w:val="000000"/>
                <w:sz w:val="16"/>
                <w:szCs w:val="16"/>
              </w:rPr>
            </w:pPr>
            <w:r w:rsidRPr="00526E63">
              <w:rPr>
                <w:rFonts w:ascii="Calibri" w:hAnsi="Calibri" w:cs="Calibri"/>
                <w:b/>
                <w:bCs/>
                <w:color w:val="000000"/>
                <w:sz w:val="16"/>
                <w:szCs w:val="16"/>
              </w:rPr>
              <w:t>Feeder</w:t>
            </w:r>
            <w:r w:rsidR="00A4153A" w:rsidRPr="00526E63">
              <w:rPr>
                <w:rFonts w:ascii="Calibri" w:hAnsi="Calibri" w:cs="Calibri"/>
                <w:b/>
                <w:bCs/>
                <w:color w:val="000000"/>
                <w:sz w:val="16"/>
                <w:szCs w:val="16"/>
              </w:rPr>
              <w:t xml:space="preserve"> setting</w:t>
            </w:r>
            <w:r w:rsidR="00A8143B" w:rsidRPr="00526E63">
              <w:rPr>
                <w:rFonts w:ascii="Calibri" w:hAnsi="Calibri" w:cs="Calibri"/>
                <w:b/>
                <w:bCs/>
                <w:color w:val="000000"/>
                <w:sz w:val="16"/>
                <w:szCs w:val="16"/>
              </w:rPr>
              <w:t>’s</w:t>
            </w:r>
            <w:r w:rsidR="00A4153A" w:rsidRPr="00526E63">
              <w:rPr>
                <w:rFonts w:ascii="Calibri" w:hAnsi="Calibri" w:cs="Calibri"/>
                <w:b/>
                <w:bCs/>
                <w:color w:val="000000"/>
                <w:sz w:val="16"/>
                <w:szCs w:val="16"/>
              </w:rPr>
              <w:t xml:space="preserve"> Designated Safeguarding </w:t>
            </w:r>
            <w:r w:rsidRPr="00526E63">
              <w:rPr>
                <w:rFonts w:ascii="Calibri" w:hAnsi="Calibri" w:cs="Calibri"/>
                <w:b/>
                <w:bCs/>
                <w:color w:val="000000"/>
                <w:sz w:val="16"/>
                <w:szCs w:val="16"/>
              </w:rPr>
              <w:t>L</w:t>
            </w:r>
            <w:r w:rsidR="00A4153A" w:rsidRPr="00526E63">
              <w:rPr>
                <w:rFonts w:ascii="Calibri" w:hAnsi="Calibri" w:cs="Calibri"/>
                <w:b/>
                <w:bCs/>
                <w:color w:val="000000"/>
                <w:sz w:val="16"/>
                <w:szCs w:val="16"/>
              </w:rPr>
              <w:t xml:space="preserve">eads </w:t>
            </w:r>
            <w:r w:rsidR="00A4153A" w:rsidRPr="00526E63">
              <w:rPr>
                <w:rFonts w:ascii="Calibri" w:hAnsi="Calibri" w:cs="Calibri"/>
                <w:color w:val="000000"/>
                <w:sz w:val="16"/>
                <w:szCs w:val="16"/>
              </w:rPr>
              <w:t>coordinate preparation of files for leavers ready for transfer:</w:t>
            </w:r>
          </w:p>
          <w:p w14:paraId="490D3765" w14:textId="0A2FB0BF" w:rsidR="00A4153A" w:rsidRPr="00526E63" w:rsidRDefault="00A8143B" w:rsidP="007162C0">
            <w:pPr>
              <w:pStyle w:val="NormalWeb"/>
              <w:numPr>
                <w:ilvl w:val="0"/>
                <w:numId w:val="1"/>
              </w:numPr>
              <w:spacing w:before="0" w:beforeAutospacing="0" w:after="0" w:afterAutospacing="0"/>
              <w:rPr>
                <w:sz w:val="16"/>
                <w:szCs w:val="16"/>
              </w:rPr>
            </w:pPr>
            <w:r w:rsidRPr="00526E63">
              <w:rPr>
                <w:rFonts w:ascii="Calibri" w:hAnsi="Calibri" w:cs="Calibri"/>
                <w:color w:val="000000"/>
                <w:sz w:val="16"/>
                <w:szCs w:val="16"/>
              </w:rPr>
              <w:t>Electronic Safeguarding Recording systems (CPOMS, My Concern)</w:t>
            </w:r>
            <w:r w:rsidR="00A4153A" w:rsidRPr="00526E63">
              <w:rPr>
                <w:rFonts w:ascii="Calibri" w:hAnsi="Calibri" w:cs="Calibri"/>
                <w:color w:val="000000"/>
                <w:sz w:val="16"/>
                <w:szCs w:val="16"/>
              </w:rPr>
              <w:t xml:space="preserve"> - download and secure storage of child protection/safeguarding information as an encrypted PDF in new academic year.  </w:t>
            </w:r>
          </w:p>
          <w:p w14:paraId="52393618" w14:textId="07652100" w:rsidR="00A4153A" w:rsidRPr="00526E63" w:rsidRDefault="00A4153A" w:rsidP="007162C0">
            <w:pPr>
              <w:pStyle w:val="NormalWeb"/>
              <w:numPr>
                <w:ilvl w:val="0"/>
                <w:numId w:val="1"/>
              </w:numPr>
              <w:spacing w:before="0" w:beforeAutospacing="0" w:after="0" w:afterAutospacing="0"/>
              <w:rPr>
                <w:sz w:val="16"/>
                <w:szCs w:val="16"/>
              </w:rPr>
            </w:pPr>
            <w:r w:rsidRPr="00526E63">
              <w:rPr>
                <w:rFonts w:ascii="Calibri" w:hAnsi="Calibri" w:cs="Calibri"/>
                <w:color w:val="000000"/>
                <w:sz w:val="16"/>
                <w:szCs w:val="16"/>
              </w:rPr>
              <w:t>Paper files are cross referenced to ensure all information is included.</w:t>
            </w:r>
          </w:p>
        </w:tc>
        <w:tc>
          <w:tcPr>
            <w:tcW w:w="5812" w:type="dxa"/>
            <w:vMerge w:val="restart"/>
            <w:tcBorders>
              <w:top w:val="single" w:sz="4" w:space="0" w:color="000000"/>
              <w:left w:val="single" w:sz="4" w:space="0" w:color="000000"/>
              <w:right w:val="single" w:sz="4" w:space="0" w:color="000000"/>
            </w:tcBorders>
            <w:vAlign w:val="center"/>
          </w:tcPr>
          <w:p w14:paraId="7AD08314" w14:textId="77777777" w:rsidR="00A4153A" w:rsidRPr="00526E63" w:rsidRDefault="00A4153A" w:rsidP="007162C0">
            <w:pPr>
              <w:spacing w:after="0" w:line="240" w:lineRule="auto"/>
              <w:rPr>
                <w:rFonts w:ascii="Calibri" w:hAnsi="Calibri" w:cs="Calibri"/>
                <w:b/>
                <w:bCs/>
                <w:color w:val="000000"/>
                <w:sz w:val="16"/>
                <w:szCs w:val="16"/>
              </w:rPr>
            </w:pPr>
            <w:r w:rsidRPr="00526E63">
              <w:rPr>
                <w:rFonts w:ascii="Calibri" w:hAnsi="Calibri" w:cs="Calibri"/>
                <w:b/>
                <w:bCs/>
                <w:color w:val="000000"/>
                <w:sz w:val="16"/>
                <w:szCs w:val="16"/>
              </w:rPr>
              <w:t xml:space="preserve">Prioritise students with child protection and safeguarding information. Use your vulnerable children’s list /RAG rating for reference. </w:t>
            </w:r>
          </w:p>
          <w:p w14:paraId="168CEC69" w14:textId="77777777" w:rsidR="007B537C" w:rsidRPr="00526E63" w:rsidRDefault="007B537C" w:rsidP="007162C0">
            <w:pPr>
              <w:spacing w:after="0" w:line="240" w:lineRule="auto"/>
              <w:rPr>
                <w:rFonts w:ascii="Calibri" w:hAnsi="Calibri" w:cs="Calibri"/>
                <w:b/>
                <w:bCs/>
                <w:color w:val="000000"/>
                <w:sz w:val="16"/>
                <w:szCs w:val="16"/>
              </w:rPr>
            </w:pPr>
          </w:p>
          <w:p w14:paraId="2C418696" w14:textId="77777777" w:rsidR="00A4153A" w:rsidRPr="00526E63" w:rsidRDefault="00A4153A" w:rsidP="007162C0">
            <w:pPr>
              <w:spacing w:after="0" w:line="240" w:lineRule="auto"/>
              <w:rPr>
                <w:rFonts w:ascii="Calibri" w:eastAsia="Times New Roman" w:hAnsi="Calibri" w:cs="Times New Roman"/>
                <w:color w:val="000000"/>
                <w:sz w:val="16"/>
                <w:szCs w:val="16"/>
                <w:lang w:eastAsia="en-GB"/>
              </w:rPr>
            </w:pPr>
          </w:p>
          <w:p w14:paraId="77DD0504" w14:textId="66F6AFFE" w:rsidR="00A4153A" w:rsidRPr="00526E63" w:rsidRDefault="00A4153A" w:rsidP="00832CA0">
            <w:pPr>
              <w:spacing w:after="0" w:line="240" w:lineRule="auto"/>
              <w:rPr>
                <w:rFonts w:ascii="Calibri" w:eastAsia="Times New Roman" w:hAnsi="Calibri" w:cs="Times New Roman"/>
                <w:color w:val="000000"/>
                <w:sz w:val="16"/>
                <w:szCs w:val="16"/>
                <w:lang w:eastAsia="en-GB"/>
              </w:rPr>
            </w:pPr>
            <w:r w:rsidRPr="00526E63">
              <w:rPr>
                <w:rFonts w:ascii="Calibri" w:eastAsia="Times New Roman" w:hAnsi="Calibri" w:cs="Times New Roman"/>
                <w:color w:val="000000"/>
                <w:sz w:val="16"/>
                <w:szCs w:val="16"/>
                <w:lang w:eastAsia="en-GB"/>
              </w:rPr>
              <w:t>Where children leave the school or college (including in year transfers) th</w:t>
            </w:r>
            <w:r w:rsidR="007B537C" w:rsidRPr="00526E63">
              <w:rPr>
                <w:rFonts w:ascii="Calibri" w:eastAsia="Times New Roman" w:hAnsi="Calibri" w:cs="Times New Roman"/>
                <w:color w:val="000000"/>
                <w:sz w:val="16"/>
                <w:szCs w:val="16"/>
                <w:lang w:eastAsia="en-GB"/>
              </w:rPr>
              <w:t>e</w:t>
            </w:r>
            <w:r w:rsidRPr="00526E63">
              <w:rPr>
                <w:rFonts w:ascii="Calibri" w:eastAsia="Times New Roman" w:hAnsi="Calibri" w:cs="Times New Roman"/>
                <w:color w:val="000000"/>
                <w:sz w:val="16"/>
                <w:szCs w:val="16"/>
                <w:lang w:eastAsia="en-GB"/>
              </w:rPr>
              <w:t xml:space="preserve"> designated safeguarding lead should ensure their child protection file is transferred to the new school or college as soon as possible</w:t>
            </w:r>
            <w:r w:rsidRPr="00526E63">
              <w:rPr>
                <w:rFonts w:ascii="Calibri" w:eastAsia="Times New Roman" w:hAnsi="Calibri" w:cs="Times New Roman"/>
                <w:b/>
                <w:bCs/>
                <w:color w:val="000000"/>
                <w:sz w:val="16"/>
                <w:szCs w:val="16"/>
                <w:highlight w:val="yellow"/>
                <w:lang w:eastAsia="en-GB"/>
              </w:rPr>
              <w:t>, and within 5 days for an in-year transfer or within the first 5 days of the start of a new term.</w:t>
            </w:r>
            <w:r w:rsidRPr="00526E63">
              <w:rPr>
                <w:rFonts w:ascii="Calibri" w:eastAsia="Times New Roman" w:hAnsi="Calibri" w:cs="Times New Roman"/>
                <w:color w:val="000000"/>
                <w:sz w:val="16"/>
                <w:szCs w:val="16"/>
                <w:lang w:eastAsia="en-GB"/>
              </w:rPr>
              <w:t xml:space="preserve"> (Information sharing and managing the child protection file, Role of the DSL Annex C)</w:t>
            </w:r>
            <w:r w:rsidR="00D04420" w:rsidRPr="00526E63">
              <w:rPr>
                <w:rFonts w:ascii="Calibri" w:eastAsia="Times New Roman" w:hAnsi="Calibri" w:cs="Times New Roman"/>
                <w:color w:val="000000"/>
                <w:sz w:val="16"/>
                <w:szCs w:val="16"/>
                <w:lang w:eastAsia="en-GB"/>
              </w:rPr>
              <w:t xml:space="preserve"> </w:t>
            </w:r>
            <w:hyperlink r:id="rId14" w:history="1">
              <w:r w:rsidR="00D04420" w:rsidRPr="00526E63">
                <w:rPr>
                  <w:rStyle w:val="Hyperlink"/>
                  <w:rFonts w:ascii="Calibri" w:eastAsia="Times New Roman" w:hAnsi="Calibri" w:cs="Times New Roman"/>
                  <w:sz w:val="16"/>
                  <w:szCs w:val="16"/>
                  <w:lang w:eastAsia="en-GB"/>
                </w:rPr>
                <w:t>Keeping Children Safe in Education</w:t>
              </w:r>
            </w:hyperlink>
            <w:r w:rsidR="00D04420" w:rsidRPr="00526E63">
              <w:rPr>
                <w:rFonts w:ascii="Calibri" w:eastAsia="Times New Roman" w:hAnsi="Calibri" w:cs="Times New Roman"/>
                <w:color w:val="000000"/>
                <w:sz w:val="16"/>
                <w:szCs w:val="16"/>
                <w:lang w:eastAsia="en-GB"/>
              </w:rPr>
              <w:t xml:space="preserve"> </w:t>
            </w:r>
          </w:p>
        </w:tc>
      </w:tr>
      <w:tr w:rsidR="00A4153A" w:rsidRPr="006771BA" w14:paraId="0FE6B3C5" w14:textId="77777777" w:rsidTr="008F7D7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78773AB8" w14:textId="77777777" w:rsidR="00A4153A" w:rsidRPr="009C72EF" w:rsidRDefault="00A4153A" w:rsidP="000D63CF">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b/>
                <w:bCs/>
                <w:color w:val="FFFFFF" w:themeColor="background1"/>
                <w:sz w:val="22"/>
                <w:szCs w:val="22"/>
              </w:rPr>
              <w:t>Start of new academic year</w:t>
            </w:r>
          </w:p>
          <w:p w14:paraId="1E245790" w14:textId="07B6836A" w:rsidR="00A4153A" w:rsidRPr="009C72EF" w:rsidRDefault="00A4153A" w:rsidP="000D63CF">
            <w:pPr>
              <w:spacing w:after="0" w:line="240" w:lineRule="auto"/>
              <w:rPr>
                <w:rFonts w:eastAsia="Times New Roman" w:cstheme="minorHAnsi"/>
                <w:b/>
                <w:bCs/>
                <w:color w:val="FFFFFF" w:themeColor="background1"/>
                <w:lang w:eastAsia="en-GB"/>
              </w:rPr>
            </w:pPr>
            <w:r w:rsidRPr="009C72EF">
              <w:rPr>
                <w:rFonts w:eastAsia="Times New Roman" w:cstheme="minorHAnsi"/>
                <w:color w:val="FFFFFF" w:themeColor="background1"/>
                <w:lang w:eastAsia="en-GB"/>
              </w:rPr>
              <w:t>W/C 01/09/2022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617A9" w14:textId="77777777" w:rsidR="00A8143B" w:rsidRPr="00526E63" w:rsidRDefault="00A8143B" w:rsidP="007162C0">
            <w:pPr>
              <w:pStyle w:val="NormalWeb"/>
              <w:spacing w:before="0" w:beforeAutospacing="0" w:after="0" w:afterAutospacing="0"/>
              <w:rPr>
                <w:rFonts w:ascii="Calibri" w:hAnsi="Calibri" w:cs="Calibri"/>
                <w:color w:val="000000"/>
                <w:sz w:val="16"/>
                <w:szCs w:val="16"/>
              </w:rPr>
            </w:pPr>
            <w:r w:rsidRPr="00526E63">
              <w:rPr>
                <w:rFonts w:ascii="Calibri" w:hAnsi="Calibri" w:cs="Calibri"/>
                <w:b/>
                <w:bCs/>
                <w:color w:val="000000"/>
                <w:sz w:val="16"/>
                <w:szCs w:val="16"/>
              </w:rPr>
              <w:t>Feeder</w:t>
            </w:r>
            <w:r w:rsidR="00A4153A" w:rsidRPr="00526E63">
              <w:rPr>
                <w:rFonts w:ascii="Calibri" w:hAnsi="Calibri" w:cs="Calibri"/>
                <w:b/>
                <w:bCs/>
                <w:color w:val="000000"/>
                <w:sz w:val="16"/>
                <w:szCs w:val="16"/>
              </w:rPr>
              <w:t xml:space="preserve"> setting</w:t>
            </w:r>
            <w:r w:rsidRPr="00526E63">
              <w:rPr>
                <w:rFonts w:ascii="Calibri" w:hAnsi="Calibri" w:cs="Calibri"/>
                <w:b/>
                <w:bCs/>
                <w:color w:val="000000"/>
                <w:sz w:val="16"/>
                <w:szCs w:val="16"/>
              </w:rPr>
              <w:t>’s</w:t>
            </w:r>
            <w:r w:rsidR="00A4153A" w:rsidRPr="00526E63">
              <w:rPr>
                <w:rFonts w:ascii="Calibri" w:hAnsi="Calibri" w:cs="Calibri"/>
                <w:b/>
                <w:bCs/>
                <w:color w:val="000000"/>
                <w:sz w:val="16"/>
                <w:szCs w:val="16"/>
              </w:rPr>
              <w:t xml:space="preserve"> Designated Safeguarding </w:t>
            </w:r>
            <w:r w:rsidRPr="00526E63">
              <w:rPr>
                <w:rFonts w:ascii="Calibri" w:hAnsi="Calibri" w:cs="Calibri"/>
                <w:b/>
                <w:bCs/>
                <w:color w:val="000000"/>
                <w:sz w:val="16"/>
                <w:szCs w:val="16"/>
              </w:rPr>
              <w:t>L</w:t>
            </w:r>
            <w:r w:rsidR="00A4153A" w:rsidRPr="00526E63">
              <w:rPr>
                <w:rFonts w:ascii="Calibri" w:hAnsi="Calibri" w:cs="Calibri"/>
                <w:b/>
                <w:bCs/>
                <w:color w:val="000000"/>
                <w:sz w:val="16"/>
                <w:szCs w:val="16"/>
              </w:rPr>
              <w:t xml:space="preserve">eads </w:t>
            </w:r>
            <w:r w:rsidR="00A4153A" w:rsidRPr="00526E63">
              <w:rPr>
                <w:rFonts w:ascii="Calibri" w:hAnsi="Calibri" w:cs="Calibri"/>
                <w:color w:val="000000"/>
                <w:sz w:val="16"/>
                <w:szCs w:val="16"/>
              </w:rPr>
              <w:t xml:space="preserve">should coordinate contacting the </w:t>
            </w:r>
            <w:r w:rsidRPr="00526E63">
              <w:rPr>
                <w:rFonts w:ascii="Calibri" w:hAnsi="Calibri" w:cs="Calibri"/>
                <w:color w:val="000000"/>
                <w:sz w:val="16"/>
                <w:szCs w:val="16"/>
              </w:rPr>
              <w:t>next</w:t>
            </w:r>
            <w:r w:rsidR="00A4153A" w:rsidRPr="00526E63">
              <w:rPr>
                <w:rFonts w:ascii="Calibri" w:hAnsi="Calibri" w:cs="Calibri"/>
                <w:color w:val="000000"/>
                <w:sz w:val="16"/>
                <w:szCs w:val="16"/>
              </w:rPr>
              <w:t xml:space="preserve"> provider</w:t>
            </w:r>
            <w:r w:rsidRPr="00526E63">
              <w:rPr>
                <w:rFonts w:ascii="Calibri" w:hAnsi="Calibri" w:cs="Calibri"/>
                <w:color w:val="000000"/>
                <w:sz w:val="16"/>
                <w:szCs w:val="16"/>
              </w:rPr>
              <w:t xml:space="preserve">: </w:t>
            </w:r>
          </w:p>
          <w:p w14:paraId="45569B4B" w14:textId="7A2A1A09" w:rsidR="009610CA" w:rsidRPr="00526E63" w:rsidRDefault="009610CA" w:rsidP="00786084">
            <w:pPr>
              <w:pStyle w:val="NormalWeb"/>
              <w:numPr>
                <w:ilvl w:val="0"/>
                <w:numId w:val="2"/>
              </w:numPr>
              <w:spacing w:before="0" w:beforeAutospacing="0" w:after="0" w:afterAutospacing="0"/>
              <w:rPr>
                <w:sz w:val="16"/>
                <w:szCs w:val="16"/>
              </w:rPr>
            </w:pPr>
            <w:r w:rsidRPr="00526E63">
              <w:rPr>
                <w:rFonts w:ascii="Calibri" w:hAnsi="Calibri" w:cs="Calibri"/>
                <w:color w:val="000000"/>
                <w:sz w:val="16"/>
                <w:szCs w:val="16"/>
              </w:rPr>
              <w:t xml:space="preserve">For </w:t>
            </w:r>
            <w:r w:rsidRPr="00526E63">
              <w:rPr>
                <w:rFonts w:ascii="Calibri" w:hAnsi="Calibri" w:cs="Calibri"/>
                <w:b/>
                <w:bCs/>
                <w:color w:val="000000"/>
                <w:sz w:val="16"/>
                <w:szCs w:val="16"/>
              </w:rPr>
              <w:t xml:space="preserve">Early </w:t>
            </w:r>
            <w:r w:rsidR="00786084" w:rsidRPr="00526E63">
              <w:rPr>
                <w:rFonts w:ascii="Calibri" w:hAnsi="Calibri" w:cs="Calibri"/>
                <w:b/>
                <w:bCs/>
                <w:color w:val="000000"/>
                <w:sz w:val="16"/>
                <w:szCs w:val="16"/>
              </w:rPr>
              <w:t>Y</w:t>
            </w:r>
            <w:r w:rsidRPr="00526E63">
              <w:rPr>
                <w:rFonts w:ascii="Calibri" w:hAnsi="Calibri" w:cs="Calibri"/>
                <w:b/>
                <w:bCs/>
                <w:color w:val="000000"/>
                <w:sz w:val="16"/>
                <w:szCs w:val="16"/>
              </w:rPr>
              <w:t>ears and Primary</w:t>
            </w:r>
            <w:r w:rsidRPr="00526E63">
              <w:rPr>
                <w:rFonts w:ascii="Calibri" w:hAnsi="Calibri" w:cs="Calibri"/>
                <w:color w:val="000000"/>
                <w:sz w:val="16"/>
                <w:szCs w:val="16"/>
              </w:rPr>
              <w:t xml:space="preserve"> - </w:t>
            </w:r>
            <w:r w:rsidRPr="00526E63">
              <w:rPr>
                <w:rFonts w:ascii="Calibri" w:hAnsi="Calibri" w:cs="Calibri"/>
                <w:color w:val="000000"/>
                <w:sz w:val="16"/>
                <w:szCs w:val="16"/>
              </w:rPr>
              <w:t xml:space="preserve">arrange file transfer within 5 </w:t>
            </w:r>
            <w:r w:rsidR="00B17F97" w:rsidRPr="00526E63">
              <w:rPr>
                <w:rFonts w:ascii="Calibri" w:hAnsi="Calibri" w:cs="Calibri"/>
                <w:color w:val="000000"/>
                <w:sz w:val="16"/>
                <w:szCs w:val="16"/>
              </w:rPr>
              <w:t>start of a new term</w:t>
            </w:r>
            <w:r w:rsidRPr="00526E63">
              <w:rPr>
                <w:rFonts w:ascii="Calibri" w:hAnsi="Calibri" w:cs="Calibri"/>
                <w:color w:val="000000"/>
                <w:sz w:val="16"/>
                <w:szCs w:val="16"/>
              </w:rPr>
              <w:t>.</w:t>
            </w:r>
          </w:p>
          <w:p w14:paraId="6A54D5D3" w14:textId="2E187F52" w:rsidR="00A4153A" w:rsidRPr="00526E63" w:rsidRDefault="00A8143B" w:rsidP="007162C0">
            <w:pPr>
              <w:pStyle w:val="NormalWeb"/>
              <w:numPr>
                <w:ilvl w:val="0"/>
                <w:numId w:val="2"/>
              </w:numPr>
              <w:spacing w:before="0" w:beforeAutospacing="0" w:after="0" w:afterAutospacing="0"/>
              <w:rPr>
                <w:sz w:val="16"/>
                <w:szCs w:val="16"/>
              </w:rPr>
            </w:pPr>
            <w:r w:rsidRPr="00526E63">
              <w:rPr>
                <w:rFonts w:ascii="Calibri" w:hAnsi="Calibri" w:cs="Calibri"/>
                <w:color w:val="000000"/>
                <w:sz w:val="16"/>
                <w:szCs w:val="16"/>
              </w:rPr>
              <w:t xml:space="preserve">For </w:t>
            </w:r>
            <w:r w:rsidRPr="00526E63">
              <w:rPr>
                <w:rFonts w:ascii="Calibri" w:hAnsi="Calibri" w:cs="Calibri"/>
                <w:b/>
                <w:bCs/>
                <w:color w:val="000000"/>
                <w:sz w:val="16"/>
                <w:szCs w:val="16"/>
              </w:rPr>
              <w:t>Post 16</w:t>
            </w:r>
            <w:r w:rsidRPr="00526E63">
              <w:rPr>
                <w:rFonts w:ascii="Calibri" w:hAnsi="Calibri" w:cs="Calibri"/>
                <w:color w:val="000000"/>
                <w:sz w:val="16"/>
                <w:szCs w:val="16"/>
              </w:rPr>
              <w:t xml:space="preserve"> - </w:t>
            </w:r>
            <w:r w:rsidR="00A4153A" w:rsidRPr="00526E63">
              <w:rPr>
                <w:rFonts w:ascii="Calibri" w:hAnsi="Calibri" w:cs="Calibri"/>
                <w:color w:val="000000"/>
                <w:sz w:val="16"/>
                <w:szCs w:val="16"/>
              </w:rPr>
              <w:t xml:space="preserve">when enrolment has taken place and arrange file transfer within 5 </w:t>
            </w:r>
            <w:r w:rsidR="00B17F97" w:rsidRPr="00526E63">
              <w:rPr>
                <w:rFonts w:ascii="Calibri" w:hAnsi="Calibri" w:cs="Calibri"/>
                <w:color w:val="000000"/>
                <w:sz w:val="16"/>
                <w:szCs w:val="16"/>
              </w:rPr>
              <w:t>start of a new term</w:t>
            </w:r>
            <w:r w:rsidR="00A4153A" w:rsidRPr="00526E63">
              <w:rPr>
                <w:rFonts w:ascii="Calibri" w:hAnsi="Calibri" w:cs="Calibri"/>
                <w:color w:val="000000"/>
                <w:sz w:val="16"/>
                <w:szCs w:val="16"/>
              </w:rPr>
              <w:t>.</w:t>
            </w:r>
          </w:p>
          <w:p w14:paraId="1E6377E5" w14:textId="77777777" w:rsidR="00594AE3" w:rsidRPr="00526E63" w:rsidRDefault="00594AE3" w:rsidP="00594AE3">
            <w:pPr>
              <w:pStyle w:val="NormalWeb"/>
              <w:spacing w:before="0" w:beforeAutospacing="0" w:after="0" w:afterAutospacing="0"/>
              <w:ind w:left="45"/>
              <w:rPr>
                <w:rFonts w:ascii="Calibri" w:hAnsi="Calibri" w:cs="Calibri"/>
                <w:color w:val="000000"/>
                <w:sz w:val="16"/>
                <w:szCs w:val="16"/>
              </w:rPr>
            </w:pPr>
          </w:p>
          <w:p w14:paraId="7C1D5370" w14:textId="24E18A3C" w:rsidR="006B7042" w:rsidRPr="00526E63" w:rsidRDefault="006B7042" w:rsidP="006B7042">
            <w:pPr>
              <w:spacing w:after="0" w:line="240" w:lineRule="auto"/>
              <w:rPr>
                <w:rFonts w:ascii="Calibri" w:eastAsia="Times New Roman" w:hAnsi="Calibri" w:cs="Times New Roman"/>
                <w:color w:val="000000"/>
                <w:sz w:val="16"/>
                <w:szCs w:val="16"/>
                <w:lang w:eastAsia="en-GB"/>
              </w:rPr>
            </w:pPr>
            <w:r w:rsidRPr="00526E63">
              <w:rPr>
                <w:rFonts w:ascii="Calibri" w:hAnsi="Calibri" w:cs="Calibri"/>
                <w:b/>
                <w:bCs/>
                <w:color w:val="000000"/>
                <w:sz w:val="16"/>
                <w:szCs w:val="16"/>
                <w:highlight w:val="green"/>
              </w:rPr>
              <w:t>A recent Local Rapid Review has highlight</w:t>
            </w:r>
            <w:r w:rsidRPr="00526E63">
              <w:rPr>
                <w:rFonts w:ascii="Calibri" w:hAnsi="Calibri" w:cs="Calibri"/>
                <w:b/>
                <w:bCs/>
                <w:color w:val="000000"/>
                <w:sz w:val="16"/>
                <w:szCs w:val="16"/>
                <w:highlight w:val="green"/>
              </w:rPr>
              <w:t>ed</w:t>
            </w:r>
            <w:r w:rsidRPr="00526E63">
              <w:rPr>
                <w:rFonts w:ascii="Calibri" w:hAnsi="Calibri" w:cs="Calibri"/>
                <w:b/>
                <w:bCs/>
                <w:color w:val="000000"/>
                <w:sz w:val="16"/>
                <w:szCs w:val="16"/>
                <w:highlight w:val="green"/>
              </w:rPr>
              <w:t xml:space="preserve"> the need to send the receiving school a list of learners currently open to LA services so they can prioritise reading </w:t>
            </w:r>
            <w:r w:rsidRPr="00526E63">
              <w:rPr>
                <w:rFonts w:ascii="Calibri" w:hAnsi="Calibri" w:cs="Calibri"/>
                <w:b/>
                <w:bCs/>
                <w:color w:val="000000"/>
                <w:sz w:val="16"/>
                <w:szCs w:val="16"/>
                <w:highlight w:val="green"/>
              </w:rPr>
              <w:t>those files.</w:t>
            </w:r>
            <w:r w:rsidRPr="00526E63">
              <w:rPr>
                <w:rFonts w:ascii="Calibri" w:hAnsi="Calibri" w:cs="Calibri"/>
                <w:b/>
                <w:bCs/>
                <w:color w:val="000000"/>
                <w:sz w:val="16"/>
                <w:szCs w:val="16"/>
              </w:rPr>
              <w:t xml:space="preserve"> </w:t>
            </w:r>
          </w:p>
          <w:p w14:paraId="787A04F6" w14:textId="77777777" w:rsidR="006B7042" w:rsidRPr="00526E63" w:rsidRDefault="006B7042" w:rsidP="00594AE3">
            <w:pPr>
              <w:pStyle w:val="NormalWeb"/>
              <w:spacing w:before="0" w:beforeAutospacing="0" w:after="0" w:afterAutospacing="0"/>
              <w:ind w:left="45"/>
              <w:rPr>
                <w:rFonts w:ascii="Calibri" w:hAnsi="Calibri" w:cs="Calibri"/>
                <w:color w:val="000000"/>
                <w:sz w:val="16"/>
                <w:szCs w:val="16"/>
              </w:rPr>
            </w:pPr>
          </w:p>
          <w:p w14:paraId="733FF884" w14:textId="2736ABC1" w:rsidR="00594AE3" w:rsidRPr="00526E63" w:rsidRDefault="0092662D" w:rsidP="00594AE3">
            <w:pPr>
              <w:pStyle w:val="NormalWeb"/>
              <w:spacing w:before="0" w:beforeAutospacing="0" w:after="0" w:afterAutospacing="0"/>
              <w:ind w:left="45"/>
              <w:rPr>
                <w:rFonts w:asciiTheme="minorHAnsi" w:hAnsiTheme="minorHAnsi" w:cstheme="minorHAnsi"/>
                <w:sz w:val="16"/>
                <w:szCs w:val="16"/>
              </w:rPr>
            </w:pPr>
            <w:r w:rsidRPr="00526E63">
              <w:rPr>
                <w:rFonts w:asciiTheme="minorHAnsi" w:hAnsiTheme="minorHAnsi" w:cstheme="minorHAnsi"/>
                <w:sz w:val="16"/>
                <w:szCs w:val="16"/>
              </w:rPr>
              <w:t xml:space="preserve">If child’s onward setting is unknown, make reasonable enquiries and consider progressing through your Child Missing Education </w:t>
            </w:r>
            <w:r w:rsidR="001729CB" w:rsidRPr="00526E63">
              <w:rPr>
                <w:rFonts w:asciiTheme="minorHAnsi" w:hAnsiTheme="minorHAnsi" w:cstheme="minorHAnsi"/>
                <w:sz w:val="16"/>
                <w:szCs w:val="16"/>
              </w:rPr>
              <w:t>p</w:t>
            </w:r>
            <w:r w:rsidRPr="00526E63">
              <w:rPr>
                <w:rFonts w:asciiTheme="minorHAnsi" w:hAnsiTheme="minorHAnsi" w:cstheme="minorHAnsi"/>
                <w:sz w:val="16"/>
                <w:szCs w:val="16"/>
              </w:rPr>
              <w:t xml:space="preserve">rocedures. </w:t>
            </w:r>
          </w:p>
        </w:tc>
        <w:tc>
          <w:tcPr>
            <w:tcW w:w="5812" w:type="dxa"/>
            <w:vMerge/>
            <w:tcBorders>
              <w:left w:val="single" w:sz="4" w:space="0" w:color="000000"/>
              <w:bottom w:val="single" w:sz="4" w:space="0" w:color="000000"/>
              <w:right w:val="single" w:sz="4" w:space="0" w:color="000000"/>
            </w:tcBorders>
            <w:vAlign w:val="center"/>
          </w:tcPr>
          <w:p w14:paraId="782DCB8C" w14:textId="65625445" w:rsidR="00A4153A" w:rsidRPr="00526E63" w:rsidRDefault="00A4153A" w:rsidP="00832CA0">
            <w:pPr>
              <w:spacing w:after="0" w:line="240" w:lineRule="auto"/>
              <w:rPr>
                <w:rFonts w:ascii="Calibri" w:eastAsia="Times New Roman" w:hAnsi="Calibri" w:cs="Times New Roman"/>
                <w:b/>
                <w:bCs/>
                <w:color w:val="000000"/>
                <w:sz w:val="16"/>
                <w:szCs w:val="16"/>
                <w:lang w:eastAsia="en-GB"/>
              </w:rPr>
            </w:pPr>
          </w:p>
        </w:tc>
      </w:tr>
      <w:tr w:rsidR="00A4153A" w:rsidRPr="006771BA" w14:paraId="4D386355" w14:textId="77777777" w:rsidTr="0055779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5E5D6281" w14:textId="4218C962" w:rsidR="00A4153A" w:rsidRPr="009C72EF" w:rsidRDefault="00A4153A" w:rsidP="000D63CF">
            <w:pPr>
              <w:pStyle w:val="NormalWeb"/>
              <w:spacing w:before="0" w:beforeAutospacing="0" w:after="0" w:afterAutospacing="0"/>
              <w:rPr>
                <w:rFonts w:asciiTheme="minorHAnsi" w:hAnsiTheme="minorHAnsi" w:cstheme="minorHAnsi"/>
                <w:b/>
                <w:bCs/>
                <w:color w:val="FFFFFF" w:themeColor="background1"/>
                <w:sz w:val="22"/>
                <w:szCs w:val="22"/>
              </w:rPr>
            </w:pPr>
            <w:r w:rsidRPr="009C72EF">
              <w:rPr>
                <w:rFonts w:asciiTheme="minorHAnsi" w:hAnsiTheme="minorHAnsi" w:cstheme="minorHAnsi"/>
                <w:b/>
                <w:bCs/>
                <w:color w:val="FFFFFF" w:themeColor="background1"/>
                <w:sz w:val="22"/>
                <w:szCs w:val="22"/>
              </w:rPr>
              <w:t>By end of week 2 in September</w:t>
            </w:r>
          </w:p>
          <w:p w14:paraId="11144AF8" w14:textId="26391AC8" w:rsidR="00A4153A" w:rsidRPr="009C72EF" w:rsidRDefault="00A4153A" w:rsidP="00251093">
            <w:pPr>
              <w:pStyle w:val="NormalWeb"/>
              <w:spacing w:before="0" w:beforeAutospacing="0" w:after="0" w:afterAutospacing="0"/>
              <w:rPr>
                <w:rFonts w:asciiTheme="minorHAnsi" w:hAnsiTheme="minorHAnsi" w:cstheme="minorHAnsi"/>
                <w:color w:val="FFFFFF" w:themeColor="background1"/>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CD90B" w14:textId="291B03ED" w:rsidR="00A4153A" w:rsidRPr="00526E63" w:rsidRDefault="00A4153A" w:rsidP="00D04420">
            <w:pPr>
              <w:pStyle w:val="NormalWeb"/>
              <w:spacing w:before="0" w:beforeAutospacing="0" w:after="0" w:afterAutospacing="0"/>
              <w:rPr>
                <w:sz w:val="16"/>
                <w:szCs w:val="16"/>
              </w:rPr>
            </w:pPr>
            <w:r w:rsidRPr="00526E63">
              <w:rPr>
                <w:rFonts w:ascii="Calibri" w:hAnsi="Calibri" w:cs="Calibri"/>
                <w:b/>
                <w:bCs/>
                <w:color w:val="000000"/>
                <w:sz w:val="16"/>
                <w:szCs w:val="16"/>
              </w:rPr>
              <w:t>Post 16 settings</w:t>
            </w:r>
            <w:r w:rsidRPr="00526E63">
              <w:rPr>
                <w:rFonts w:ascii="Calibri" w:hAnsi="Calibri" w:cs="Calibri"/>
                <w:color w:val="000000"/>
                <w:sz w:val="16"/>
                <w:szCs w:val="16"/>
              </w:rPr>
              <w:t xml:space="preserve"> run a report using the </w:t>
            </w:r>
            <w:proofErr w:type="spellStart"/>
            <w:r w:rsidRPr="00526E63">
              <w:rPr>
                <w:rFonts w:ascii="Calibri" w:hAnsi="Calibri" w:cs="Calibri"/>
                <w:color w:val="000000"/>
                <w:sz w:val="16"/>
                <w:szCs w:val="16"/>
              </w:rPr>
              <w:t>MiS</w:t>
            </w:r>
            <w:proofErr w:type="spellEnd"/>
            <w:r w:rsidRPr="00526E63">
              <w:rPr>
                <w:rFonts w:ascii="Calibri" w:hAnsi="Calibri" w:cs="Calibri"/>
                <w:color w:val="000000"/>
                <w:sz w:val="16"/>
                <w:szCs w:val="16"/>
              </w:rPr>
              <w:t xml:space="preserve"> to establish the details of enrolled learners and their previous settings.  Spreadsheets produced of enrolled learners for each secondary setting.</w:t>
            </w:r>
          </w:p>
        </w:tc>
        <w:tc>
          <w:tcPr>
            <w:tcW w:w="5812" w:type="dxa"/>
            <w:vMerge w:val="restart"/>
            <w:tcBorders>
              <w:top w:val="single" w:sz="4" w:space="0" w:color="000000"/>
              <w:left w:val="single" w:sz="4" w:space="0" w:color="000000"/>
              <w:right w:val="single" w:sz="4" w:space="0" w:color="000000"/>
            </w:tcBorders>
            <w:vAlign w:val="center"/>
          </w:tcPr>
          <w:p w14:paraId="006F69BF" w14:textId="5DE73A81" w:rsidR="00A4153A" w:rsidRPr="00526E63" w:rsidRDefault="00A4153A" w:rsidP="007162C0">
            <w:pPr>
              <w:spacing w:after="0" w:line="240" w:lineRule="auto"/>
              <w:rPr>
                <w:rFonts w:ascii="Calibri" w:eastAsia="Times New Roman" w:hAnsi="Calibri" w:cs="Times New Roman"/>
                <w:color w:val="000000"/>
                <w:sz w:val="16"/>
                <w:szCs w:val="16"/>
                <w:lang w:eastAsia="en-GB"/>
              </w:rPr>
            </w:pPr>
            <w:r w:rsidRPr="00526E63">
              <w:rPr>
                <w:rFonts w:ascii="Calibri" w:eastAsia="Times New Roman" w:hAnsi="Calibri" w:cs="Times New Roman"/>
                <w:color w:val="000000"/>
                <w:sz w:val="16"/>
                <w:szCs w:val="16"/>
                <w:lang w:eastAsia="en-GB"/>
              </w:rPr>
              <w:t xml:space="preserve">This provides a confirmation to assist ‘mop up’ of cases which have not yet been sent over to the new setting that may not have been prioritised. </w:t>
            </w:r>
          </w:p>
        </w:tc>
      </w:tr>
      <w:tr w:rsidR="00A4153A" w:rsidRPr="006771BA" w14:paraId="5E661D4A" w14:textId="77777777" w:rsidTr="00557797">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2B8B3485" w14:textId="77777777" w:rsidR="00A4153A" w:rsidRPr="009C72EF" w:rsidRDefault="00A4153A" w:rsidP="000D63CF">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b/>
                <w:bCs/>
                <w:color w:val="FFFFFF" w:themeColor="background1"/>
                <w:sz w:val="22"/>
                <w:szCs w:val="22"/>
              </w:rPr>
              <w:t>By end of week 3 in September</w:t>
            </w:r>
          </w:p>
          <w:p w14:paraId="55B6DB4A" w14:textId="40D53F14" w:rsidR="00A4153A" w:rsidRPr="009C72EF" w:rsidRDefault="00A4153A" w:rsidP="00251093">
            <w:pPr>
              <w:pStyle w:val="NormalWeb"/>
              <w:spacing w:before="0" w:beforeAutospacing="0" w:after="0" w:afterAutospacing="0"/>
              <w:rPr>
                <w:rFonts w:asciiTheme="minorHAnsi" w:hAnsiTheme="minorHAnsi" w:cstheme="minorHAnsi"/>
                <w:color w:val="FFFFFF" w:themeColor="background1"/>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78B42" w14:textId="166A9228" w:rsidR="00A4153A" w:rsidRPr="00526E63" w:rsidRDefault="00A4153A" w:rsidP="007162C0">
            <w:pPr>
              <w:spacing w:after="0" w:line="240" w:lineRule="auto"/>
              <w:rPr>
                <w:rFonts w:ascii="Calibri" w:eastAsia="Times New Roman" w:hAnsi="Calibri" w:cs="Times New Roman"/>
                <w:color w:val="000000"/>
                <w:sz w:val="16"/>
                <w:szCs w:val="16"/>
                <w:lang w:eastAsia="en-GB"/>
              </w:rPr>
            </w:pPr>
            <w:r w:rsidRPr="00526E63">
              <w:rPr>
                <w:rFonts w:ascii="Calibri" w:hAnsi="Calibri" w:cs="Calibri"/>
                <w:b/>
                <w:bCs/>
                <w:color w:val="000000"/>
                <w:sz w:val="16"/>
                <w:szCs w:val="16"/>
              </w:rPr>
              <w:t>Post 16 settings</w:t>
            </w:r>
            <w:r w:rsidRPr="00526E63">
              <w:rPr>
                <w:rFonts w:ascii="Calibri" w:hAnsi="Calibri" w:cs="Calibri"/>
                <w:color w:val="000000"/>
                <w:sz w:val="16"/>
                <w:szCs w:val="16"/>
              </w:rPr>
              <w:t xml:space="preserve"> have sent encrypted spreadsheets of all enrolled learners to secondary Designated Safeguarding Leads.</w:t>
            </w:r>
          </w:p>
        </w:tc>
        <w:tc>
          <w:tcPr>
            <w:tcW w:w="5812" w:type="dxa"/>
            <w:vMerge/>
            <w:tcBorders>
              <w:left w:val="single" w:sz="4" w:space="0" w:color="000000"/>
              <w:right w:val="single" w:sz="4" w:space="0" w:color="000000"/>
            </w:tcBorders>
            <w:vAlign w:val="center"/>
          </w:tcPr>
          <w:p w14:paraId="337659F7" w14:textId="77777777" w:rsidR="00A4153A" w:rsidRPr="00526E63" w:rsidRDefault="00A4153A" w:rsidP="007162C0">
            <w:pPr>
              <w:spacing w:after="0" w:line="240" w:lineRule="auto"/>
              <w:rPr>
                <w:rFonts w:ascii="Calibri" w:eastAsia="Times New Roman" w:hAnsi="Calibri" w:cs="Times New Roman"/>
                <w:color w:val="000000"/>
                <w:sz w:val="16"/>
                <w:szCs w:val="16"/>
                <w:lang w:eastAsia="en-GB"/>
              </w:rPr>
            </w:pPr>
          </w:p>
        </w:tc>
      </w:tr>
      <w:tr w:rsidR="00A4153A" w:rsidRPr="006771BA" w14:paraId="07898B4D" w14:textId="77777777" w:rsidTr="00DB7E5E">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40ED6919" w14:textId="46BB3C82" w:rsidR="00A4153A" w:rsidRPr="009C72EF" w:rsidRDefault="00A4153A" w:rsidP="000D63CF">
            <w:pPr>
              <w:spacing w:after="0" w:line="240" w:lineRule="auto"/>
              <w:rPr>
                <w:rFonts w:eastAsia="Times New Roman" w:cstheme="minorHAnsi"/>
                <w:b/>
                <w:bCs/>
                <w:color w:val="FFFFFF" w:themeColor="background1"/>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5C4BD" w14:textId="0495D06D" w:rsidR="00A4153A" w:rsidRPr="00526E63" w:rsidRDefault="00A4153A" w:rsidP="00334CDD">
            <w:pPr>
              <w:pStyle w:val="NormalWeb"/>
              <w:spacing w:before="0" w:beforeAutospacing="0" w:after="0" w:afterAutospacing="0"/>
              <w:rPr>
                <w:sz w:val="16"/>
                <w:szCs w:val="16"/>
              </w:rPr>
            </w:pPr>
            <w:r w:rsidRPr="00526E63">
              <w:rPr>
                <w:rFonts w:ascii="Calibri" w:hAnsi="Calibri" w:cs="Calibri"/>
                <w:b/>
                <w:bCs/>
                <w:color w:val="000000"/>
                <w:sz w:val="16"/>
                <w:szCs w:val="16"/>
              </w:rPr>
              <w:t xml:space="preserve">Secondary setting Designated Safeguarding leads </w:t>
            </w:r>
            <w:r w:rsidRPr="00526E63">
              <w:rPr>
                <w:rFonts w:ascii="Calibri" w:hAnsi="Calibri" w:cs="Calibri"/>
                <w:color w:val="000000"/>
                <w:sz w:val="16"/>
                <w:szCs w:val="16"/>
              </w:rPr>
              <w:t>- On receipt of spreadsheet</w:t>
            </w:r>
            <w:r w:rsidRPr="00526E63">
              <w:rPr>
                <w:rFonts w:ascii="Calibri" w:hAnsi="Calibri" w:cs="Calibri"/>
                <w:b/>
                <w:bCs/>
                <w:color w:val="000000"/>
                <w:sz w:val="16"/>
                <w:szCs w:val="16"/>
              </w:rPr>
              <w:t xml:space="preserve"> </w:t>
            </w:r>
            <w:r w:rsidRPr="00526E63">
              <w:rPr>
                <w:rFonts w:ascii="Calibri" w:hAnsi="Calibri" w:cs="Calibri"/>
                <w:color w:val="000000"/>
                <w:sz w:val="16"/>
                <w:szCs w:val="16"/>
              </w:rPr>
              <w:t>coordinate the cross referencing of post 16 spreadsheets with their year 11 cohort lists and initiate any remaining information transfer.</w:t>
            </w:r>
          </w:p>
        </w:tc>
        <w:tc>
          <w:tcPr>
            <w:tcW w:w="5812" w:type="dxa"/>
            <w:vMerge/>
            <w:tcBorders>
              <w:left w:val="single" w:sz="4" w:space="0" w:color="000000"/>
              <w:right w:val="single" w:sz="4" w:space="0" w:color="000000"/>
            </w:tcBorders>
            <w:vAlign w:val="center"/>
          </w:tcPr>
          <w:p w14:paraId="7FB96CA2" w14:textId="77777777" w:rsidR="00A4153A" w:rsidRPr="00526E63" w:rsidRDefault="00A4153A" w:rsidP="007162C0">
            <w:pPr>
              <w:spacing w:after="0" w:line="240" w:lineRule="auto"/>
              <w:rPr>
                <w:rFonts w:ascii="Calibri" w:eastAsia="Times New Roman" w:hAnsi="Calibri" w:cs="Times New Roman"/>
                <w:color w:val="000000"/>
                <w:sz w:val="16"/>
                <w:szCs w:val="16"/>
                <w:lang w:eastAsia="en-GB"/>
              </w:rPr>
            </w:pPr>
          </w:p>
        </w:tc>
      </w:tr>
      <w:tr w:rsidR="00A4153A" w:rsidRPr="006771BA" w14:paraId="45072108" w14:textId="77777777" w:rsidTr="00DB7E5E">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307BC9EC" w14:textId="49EDF619" w:rsidR="00A4153A" w:rsidRPr="009C72EF" w:rsidRDefault="00A4153A" w:rsidP="00E36624">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b/>
                <w:bCs/>
                <w:color w:val="FFFFFF" w:themeColor="background1"/>
                <w:sz w:val="22"/>
                <w:szCs w:val="22"/>
              </w:rPr>
              <w:t>If the file is not received after 5 days</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E2832" w14:textId="59B39979" w:rsidR="00A4153A" w:rsidRPr="00526E63" w:rsidRDefault="00A4153A" w:rsidP="007162C0">
            <w:pPr>
              <w:spacing w:after="0" w:line="240" w:lineRule="auto"/>
              <w:rPr>
                <w:rFonts w:ascii="Calibri" w:eastAsia="Times New Roman" w:hAnsi="Calibri" w:cs="Times New Roman"/>
                <w:color w:val="000000"/>
                <w:sz w:val="16"/>
                <w:szCs w:val="16"/>
                <w:lang w:eastAsia="en-GB"/>
              </w:rPr>
            </w:pPr>
            <w:r w:rsidRPr="00526E63">
              <w:rPr>
                <w:rFonts w:ascii="Calibri" w:hAnsi="Calibri" w:cs="Calibri"/>
                <w:b/>
                <w:bCs/>
                <w:color w:val="000000"/>
                <w:sz w:val="16"/>
                <w:szCs w:val="16"/>
              </w:rPr>
              <w:t>Post 16 settings</w:t>
            </w:r>
            <w:r w:rsidRPr="00526E63">
              <w:rPr>
                <w:rFonts w:ascii="Calibri" w:hAnsi="Calibri" w:cs="Calibri"/>
                <w:color w:val="000000"/>
                <w:sz w:val="16"/>
                <w:szCs w:val="16"/>
              </w:rPr>
              <w:t xml:space="preserve"> Designated Safeguarding Lead contacts the Designated Safeguarding Lead at secondary setting to prompt immediate transfer.</w:t>
            </w:r>
          </w:p>
        </w:tc>
        <w:tc>
          <w:tcPr>
            <w:tcW w:w="5812" w:type="dxa"/>
            <w:vMerge/>
            <w:tcBorders>
              <w:left w:val="single" w:sz="4" w:space="0" w:color="000000"/>
              <w:bottom w:val="single" w:sz="4" w:space="0" w:color="000000"/>
              <w:right w:val="single" w:sz="4" w:space="0" w:color="000000"/>
            </w:tcBorders>
            <w:vAlign w:val="center"/>
          </w:tcPr>
          <w:p w14:paraId="0C58C841" w14:textId="77777777" w:rsidR="00A4153A" w:rsidRPr="00526E63" w:rsidRDefault="00A4153A" w:rsidP="007162C0">
            <w:pPr>
              <w:spacing w:after="0" w:line="240" w:lineRule="auto"/>
              <w:rPr>
                <w:rFonts w:ascii="Calibri" w:eastAsia="Times New Roman" w:hAnsi="Calibri" w:cs="Times New Roman"/>
                <w:color w:val="000000"/>
                <w:sz w:val="16"/>
                <w:szCs w:val="16"/>
                <w:lang w:eastAsia="en-GB"/>
              </w:rPr>
            </w:pPr>
          </w:p>
        </w:tc>
      </w:tr>
      <w:tr w:rsidR="003A7F2C" w:rsidRPr="006771BA" w14:paraId="0340EF25" w14:textId="77777777" w:rsidTr="0055779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6B313896" w14:textId="7D20E55E" w:rsidR="003A7F2C" w:rsidRPr="009C72EF" w:rsidRDefault="003A7F2C" w:rsidP="000D63CF">
            <w:pPr>
              <w:spacing w:after="0" w:line="240" w:lineRule="auto"/>
              <w:rPr>
                <w:rFonts w:eastAsia="Times New Roman" w:cstheme="minorHAnsi"/>
                <w:b/>
                <w:bCs/>
                <w:color w:val="FFFFFF" w:themeColor="background1"/>
                <w:lang w:eastAsia="en-GB"/>
              </w:rPr>
            </w:pPr>
            <w:r w:rsidRPr="009C72EF">
              <w:rPr>
                <w:rFonts w:cstheme="minorHAnsi"/>
                <w:b/>
                <w:bCs/>
                <w:color w:val="FFFFFF" w:themeColor="background1"/>
              </w:rPr>
              <w:t>If the file remains outstanding</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4C761" w14:textId="1A517DFF" w:rsidR="003A7F2C" w:rsidRPr="00526E63" w:rsidRDefault="00B75B97" w:rsidP="007162C0">
            <w:pPr>
              <w:spacing w:after="0" w:line="240" w:lineRule="auto"/>
              <w:rPr>
                <w:rFonts w:ascii="Calibri" w:eastAsia="Times New Roman" w:hAnsi="Calibri" w:cs="Times New Roman"/>
                <w:color w:val="000000"/>
                <w:sz w:val="16"/>
                <w:szCs w:val="16"/>
                <w:lang w:eastAsia="en-GB"/>
              </w:rPr>
            </w:pPr>
            <w:r w:rsidRPr="00526E63">
              <w:rPr>
                <w:rFonts w:ascii="Calibri" w:hAnsi="Calibri" w:cs="Calibri"/>
                <w:color w:val="000000"/>
                <w:sz w:val="16"/>
                <w:szCs w:val="16"/>
              </w:rPr>
              <w:t xml:space="preserve">Escalation to the principal/headteacher should be made before contacting </w:t>
            </w:r>
            <w:r w:rsidR="003A7F2C" w:rsidRPr="00526E63">
              <w:rPr>
                <w:rFonts w:ascii="Calibri" w:hAnsi="Calibri" w:cs="Calibri"/>
                <w:color w:val="000000"/>
                <w:sz w:val="16"/>
                <w:szCs w:val="16"/>
              </w:rPr>
              <w:t xml:space="preserve">Local </w:t>
            </w:r>
            <w:r w:rsidRPr="00526E63">
              <w:rPr>
                <w:rFonts w:ascii="Calibri" w:hAnsi="Calibri" w:cs="Calibri"/>
                <w:color w:val="000000"/>
                <w:sz w:val="16"/>
                <w:szCs w:val="16"/>
              </w:rPr>
              <w:t>A</w:t>
            </w:r>
            <w:r w:rsidR="003A7F2C" w:rsidRPr="00526E63">
              <w:rPr>
                <w:rFonts w:ascii="Calibri" w:hAnsi="Calibri" w:cs="Calibri"/>
                <w:color w:val="000000"/>
                <w:sz w:val="16"/>
                <w:szCs w:val="16"/>
              </w:rPr>
              <w:t xml:space="preserve">uthority </w:t>
            </w:r>
            <w:r w:rsidRPr="00526E63">
              <w:rPr>
                <w:rFonts w:ascii="Calibri" w:hAnsi="Calibri" w:cs="Calibri"/>
                <w:color w:val="000000"/>
                <w:sz w:val="16"/>
                <w:szCs w:val="16"/>
              </w:rPr>
              <w:t>S</w:t>
            </w:r>
            <w:r w:rsidR="003A7F2C" w:rsidRPr="00526E63">
              <w:rPr>
                <w:rFonts w:ascii="Calibri" w:hAnsi="Calibri" w:cs="Calibri"/>
                <w:color w:val="000000"/>
                <w:sz w:val="16"/>
                <w:szCs w:val="16"/>
              </w:rPr>
              <w:t xml:space="preserve">afeguarding in </w:t>
            </w:r>
            <w:r w:rsidRPr="00526E63">
              <w:rPr>
                <w:rFonts w:ascii="Calibri" w:hAnsi="Calibri" w:cs="Calibri"/>
                <w:color w:val="000000"/>
                <w:sz w:val="16"/>
                <w:szCs w:val="16"/>
              </w:rPr>
              <w:t>E</w:t>
            </w:r>
            <w:r w:rsidR="003A7F2C" w:rsidRPr="00526E63">
              <w:rPr>
                <w:rFonts w:ascii="Calibri" w:hAnsi="Calibri" w:cs="Calibri"/>
                <w:color w:val="000000"/>
                <w:sz w:val="16"/>
                <w:szCs w:val="16"/>
              </w:rPr>
              <w:t xml:space="preserve">ducation </w:t>
            </w:r>
            <w:r w:rsidRPr="00526E63">
              <w:rPr>
                <w:rFonts w:ascii="Calibri" w:hAnsi="Calibri" w:cs="Calibri"/>
                <w:color w:val="000000"/>
                <w:sz w:val="16"/>
                <w:szCs w:val="16"/>
              </w:rPr>
              <w:t>T</w:t>
            </w:r>
            <w:r w:rsidR="003A7F2C" w:rsidRPr="00526E63">
              <w:rPr>
                <w:rFonts w:ascii="Calibri" w:hAnsi="Calibri" w:cs="Calibri"/>
                <w:color w:val="000000"/>
                <w:sz w:val="16"/>
                <w:szCs w:val="16"/>
              </w:rPr>
              <w:t>eam</w:t>
            </w:r>
            <w:r w:rsidRPr="00526E63">
              <w:rPr>
                <w:rFonts w:ascii="Calibri" w:hAnsi="Calibri" w:cs="Calibri"/>
                <w:color w:val="000000"/>
                <w:sz w:val="16"/>
                <w:szCs w:val="16"/>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0171BBDE" w14:textId="5BC36D16" w:rsidR="00B75B97" w:rsidRPr="00526E63" w:rsidRDefault="00B75B97" w:rsidP="007F3229">
            <w:pPr>
              <w:spacing w:after="0" w:line="240" w:lineRule="auto"/>
              <w:rPr>
                <w:rFonts w:ascii="Calibri" w:eastAsia="Times New Roman" w:hAnsi="Calibri" w:cs="Times New Roman"/>
                <w:color w:val="000000"/>
                <w:sz w:val="16"/>
                <w:szCs w:val="16"/>
                <w:lang w:eastAsia="en-GB"/>
              </w:rPr>
            </w:pPr>
            <w:r w:rsidRPr="00526E63">
              <w:rPr>
                <w:rFonts w:ascii="Calibri" w:eastAsia="Times New Roman" w:hAnsi="Calibri" w:cs="Times New Roman"/>
                <w:color w:val="000000"/>
                <w:sz w:val="16"/>
                <w:szCs w:val="16"/>
                <w:lang w:eastAsia="en-GB"/>
              </w:rPr>
              <w:t xml:space="preserve">KBSP Escalation of Professional Disagreements - Safeguarding Children– </w:t>
            </w:r>
            <w:hyperlink r:id="rId15" w:history="1">
              <w:r w:rsidRPr="00526E63">
                <w:rPr>
                  <w:rStyle w:val="Hyperlink"/>
                  <w:rFonts w:ascii="Calibri" w:eastAsia="Times New Roman" w:hAnsi="Calibri" w:cs="Times New Roman"/>
                  <w:sz w:val="16"/>
                  <w:szCs w:val="16"/>
                  <w:lang w:eastAsia="en-GB"/>
                </w:rPr>
                <w:t>https://bristolsafeguarding.org/policies-and-guidance/escalation-of-professional-disagreements-safeguarding-children/</w:t>
              </w:r>
            </w:hyperlink>
          </w:p>
        </w:tc>
      </w:tr>
    </w:tbl>
    <w:p w14:paraId="663C4FD1" w14:textId="77777777" w:rsidR="00BE1793" w:rsidRDefault="00BE1793" w:rsidP="00DE6F82"/>
    <w:sectPr w:rsidR="00BE1793" w:rsidSect="006771BA">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0D25" w14:textId="77777777" w:rsidR="00C067D5" w:rsidRDefault="00C067D5" w:rsidP="007162C0">
      <w:pPr>
        <w:spacing w:after="0" w:line="240" w:lineRule="auto"/>
      </w:pPr>
      <w:r>
        <w:separator/>
      </w:r>
    </w:p>
  </w:endnote>
  <w:endnote w:type="continuationSeparator" w:id="0">
    <w:p w14:paraId="0BD1597B" w14:textId="77777777" w:rsidR="00C067D5" w:rsidRDefault="00C067D5" w:rsidP="0071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3AD1" w14:textId="77777777" w:rsidR="00C067D5" w:rsidRDefault="00C067D5" w:rsidP="007162C0">
      <w:pPr>
        <w:spacing w:after="0" w:line="240" w:lineRule="auto"/>
      </w:pPr>
      <w:r>
        <w:separator/>
      </w:r>
    </w:p>
  </w:footnote>
  <w:footnote w:type="continuationSeparator" w:id="0">
    <w:p w14:paraId="543E3060" w14:textId="77777777" w:rsidR="00C067D5" w:rsidRDefault="00C067D5" w:rsidP="0071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FC85" w14:textId="0335839A" w:rsidR="006F595F" w:rsidRDefault="002418D8">
    <w:pPr>
      <w:pStyle w:val="Header"/>
      <w:rPr>
        <w:b/>
        <w:bCs/>
        <w:sz w:val="40"/>
        <w:szCs w:val="40"/>
      </w:rPr>
    </w:pPr>
    <w:r>
      <w:rPr>
        <w:b/>
        <w:bCs/>
        <w:noProof/>
        <w:sz w:val="40"/>
        <w:szCs w:val="40"/>
      </w:rPr>
      <w:drawing>
        <wp:anchor distT="0" distB="0" distL="114300" distR="114300" simplePos="0" relativeHeight="251658240" behindDoc="1" locked="0" layoutInCell="1" allowOverlap="1" wp14:anchorId="72974C19" wp14:editId="410CD6E2">
          <wp:simplePos x="0" y="0"/>
          <wp:positionH relativeFrom="column">
            <wp:posOffset>6457950</wp:posOffset>
          </wp:positionH>
          <wp:positionV relativeFrom="paragraph">
            <wp:posOffset>-241300</wp:posOffset>
          </wp:positionV>
          <wp:extent cx="982980" cy="584200"/>
          <wp:effectExtent l="0" t="0" r="7620" b="6350"/>
          <wp:wrapTight wrapText="bothSides">
            <wp:wrapPolygon edited="0">
              <wp:start x="0" y="0"/>
              <wp:lineTo x="0" y="21130"/>
              <wp:lineTo x="21349" y="21130"/>
              <wp:lineTo x="21349"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2980" cy="584200"/>
                  </a:xfrm>
                  <a:prstGeom prst="rect">
                    <a:avLst/>
                  </a:prstGeom>
                </pic:spPr>
              </pic:pic>
            </a:graphicData>
          </a:graphic>
        </wp:anchor>
      </w:drawing>
    </w:r>
    <w:r>
      <w:rPr>
        <w:b/>
        <w:bCs/>
        <w:noProof/>
        <w:sz w:val="40"/>
        <w:szCs w:val="40"/>
      </w:rPr>
      <w:drawing>
        <wp:anchor distT="0" distB="0" distL="114300" distR="114300" simplePos="0" relativeHeight="251659264" behindDoc="1" locked="0" layoutInCell="1" allowOverlap="1" wp14:anchorId="5ED42809" wp14:editId="2836B359">
          <wp:simplePos x="0" y="0"/>
          <wp:positionH relativeFrom="column">
            <wp:posOffset>7658100</wp:posOffset>
          </wp:positionH>
          <wp:positionV relativeFrom="paragraph">
            <wp:posOffset>-252730</wp:posOffset>
          </wp:positionV>
          <wp:extent cx="1231265" cy="554990"/>
          <wp:effectExtent l="0" t="0" r="6985" b="0"/>
          <wp:wrapTight wrapText="bothSides">
            <wp:wrapPolygon edited="0">
              <wp:start x="0" y="0"/>
              <wp:lineTo x="0" y="20760"/>
              <wp:lineTo x="21388" y="20760"/>
              <wp:lineTo x="213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33AA8"/>
    <w:multiLevelType w:val="hybridMultilevel"/>
    <w:tmpl w:val="6BB8FE80"/>
    <w:lvl w:ilvl="0" w:tplc="2E72580E">
      <w:start w:val="7"/>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6FBC447C"/>
    <w:multiLevelType w:val="hybridMultilevel"/>
    <w:tmpl w:val="8FE82206"/>
    <w:lvl w:ilvl="0" w:tplc="A2A41E4A">
      <w:start w:val="3"/>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892037348">
    <w:abstractNumId w:val="0"/>
  </w:num>
  <w:num w:numId="2" w16cid:durableId="138093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93"/>
    <w:rsid w:val="00070DF7"/>
    <w:rsid w:val="000D63CF"/>
    <w:rsid w:val="000E27EE"/>
    <w:rsid w:val="001729CB"/>
    <w:rsid w:val="00190F09"/>
    <w:rsid w:val="001B3BEF"/>
    <w:rsid w:val="00206170"/>
    <w:rsid w:val="002418D8"/>
    <w:rsid w:val="002450E8"/>
    <w:rsid w:val="002460E9"/>
    <w:rsid w:val="00251093"/>
    <w:rsid w:val="00260937"/>
    <w:rsid w:val="00261466"/>
    <w:rsid w:val="002A655F"/>
    <w:rsid w:val="002C14F4"/>
    <w:rsid w:val="002D4E39"/>
    <w:rsid w:val="00317DCD"/>
    <w:rsid w:val="00334CDD"/>
    <w:rsid w:val="0035423C"/>
    <w:rsid w:val="0036028D"/>
    <w:rsid w:val="00366A77"/>
    <w:rsid w:val="003A7F2C"/>
    <w:rsid w:val="00440F4B"/>
    <w:rsid w:val="00462B5B"/>
    <w:rsid w:val="004928FD"/>
    <w:rsid w:val="004A3B58"/>
    <w:rsid w:val="004B7D7C"/>
    <w:rsid w:val="00515D5D"/>
    <w:rsid w:val="00526E63"/>
    <w:rsid w:val="0053042C"/>
    <w:rsid w:val="00557797"/>
    <w:rsid w:val="00564714"/>
    <w:rsid w:val="00572CFE"/>
    <w:rsid w:val="0058719A"/>
    <w:rsid w:val="00594AE3"/>
    <w:rsid w:val="005D76F3"/>
    <w:rsid w:val="006103E9"/>
    <w:rsid w:val="00635A59"/>
    <w:rsid w:val="006771BA"/>
    <w:rsid w:val="006B260F"/>
    <w:rsid w:val="006B7042"/>
    <w:rsid w:val="006F595F"/>
    <w:rsid w:val="0070671A"/>
    <w:rsid w:val="00714559"/>
    <w:rsid w:val="007162C0"/>
    <w:rsid w:val="007303FB"/>
    <w:rsid w:val="00730E9A"/>
    <w:rsid w:val="00761F65"/>
    <w:rsid w:val="00786084"/>
    <w:rsid w:val="007A0475"/>
    <w:rsid w:val="007A0512"/>
    <w:rsid w:val="007B537C"/>
    <w:rsid w:val="007B611B"/>
    <w:rsid w:val="007C1298"/>
    <w:rsid w:val="007F3229"/>
    <w:rsid w:val="00822974"/>
    <w:rsid w:val="00832CA0"/>
    <w:rsid w:val="00853CA2"/>
    <w:rsid w:val="00860EF6"/>
    <w:rsid w:val="00870553"/>
    <w:rsid w:val="008C64E0"/>
    <w:rsid w:val="009009C2"/>
    <w:rsid w:val="0092662D"/>
    <w:rsid w:val="009610CA"/>
    <w:rsid w:val="00990ED7"/>
    <w:rsid w:val="009B4E2C"/>
    <w:rsid w:val="009C72EF"/>
    <w:rsid w:val="00A05D01"/>
    <w:rsid w:val="00A1667C"/>
    <w:rsid w:val="00A21DD7"/>
    <w:rsid w:val="00A4153A"/>
    <w:rsid w:val="00A65879"/>
    <w:rsid w:val="00A8143B"/>
    <w:rsid w:val="00AB7550"/>
    <w:rsid w:val="00AF5D96"/>
    <w:rsid w:val="00B019EF"/>
    <w:rsid w:val="00B1555A"/>
    <w:rsid w:val="00B17F97"/>
    <w:rsid w:val="00B46973"/>
    <w:rsid w:val="00B75B97"/>
    <w:rsid w:val="00BD44AD"/>
    <w:rsid w:val="00BE1793"/>
    <w:rsid w:val="00C02A7B"/>
    <w:rsid w:val="00C067D5"/>
    <w:rsid w:val="00C26515"/>
    <w:rsid w:val="00C57158"/>
    <w:rsid w:val="00D04420"/>
    <w:rsid w:val="00D05171"/>
    <w:rsid w:val="00D2279F"/>
    <w:rsid w:val="00D269C1"/>
    <w:rsid w:val="00D358D4"/>
    <w:rsid w:val="00D43851"/>
    <w:rsid w:val="00DE6F82"/>
    <w:rsid w:val="00E36624"/>
    <w:rsid w:val="00EC2D0C"/>
    <w:rsid w:val="00EC3531"/>
    <w:rsid w:val="00EC75CC"/>
    <w:rsid w:val="00FA6E8D"/>
    <w:rsid w:val="00FF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E911"/>
  <w15:chartTrackingRefBased/>
  <w15:docId w15:val="{86B10746-2289-4ACE-826D-9D438FC3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19A"/>
    <w:pPr>
      <w:ind w:left="720"/>
      <w:contextualSpacing/>
    </w:pPr>
  </w:style>
  <w:style w:type="paragraph" w:styleId="NormalWeb">
    <w:name w:val="Normal (Web)"/>
    <w:basedOn w:val="Normal"/>
    <w:uiPriority w:val="99"/>
    <w:unhideWhenUsed/>
    <w:rsid w:val="003A7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5B97"/>
    <w:rPr>
      <w:color w:val="0563C1" w:themeColor="hyperlink"/>
      <w:u w:val="single"/>
    </w:rPr>
  </w:style>
  <w:style w:type="character" w:styleId="UnresolvedMention">
    <w:name w:val="Unresolved Mention"/>
    <w:basedOn w:val="DefaultParagraphFont"/>
    <w:uiPriority w:val="99"/>
    <w:semiHidden/>
    <w:unhideWhenUsed/>
    <w:rsid w:val="00B75B97"/>
    <w:rPr>
      <w:color w:val="605E5C"/>
      <w:shd w:val="clear" w:color="auto" w:fill="E1DFDD"/>
    </w:rPr>
  </w:style>
  <w:style w:type="paragraph" w:styleId="Header">
    <w:name w:val="header"/>
    <w:basedOn w:val="Normal"/>
    <w:link w:val="HeaderChar"/>
    <w:uiPriority w:val="99"/>
    <w:unhideWhenUsed/>
    <w:rsid w:val="00822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974"/>
  </w:style>
  <w:style w:type="paragraph" w:styleId="Footer">
    <w:name w:val="footer"/>
    <w:basedOn w:val="Normal"/>
    <w:link w:val="FooterChar"/>
    <w:uiPriority w:val="99"/>
    <w:unhideWhenUsed/>
    <w:rsid w:val="00822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974"/>
  </w:style>
  <w:style w:type="character" w:styleId="FollowedHyperlink">
    <w:name w:val="FollowedHyperlink"/>
    <w:basedOn w:val="DefaultParagraphFont"/>
    <w:uiPriority w:val="99"/>
    <w:semiHidden/>
    <w:unhideWhenUsed/>
    <w:rsid w:val="00714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15326">
      <w:bodyDiv w:val="1"/>
      <w:marLeft w:val="0"/>
      <w:marRight w:val="0"/>
      <w:marTop w:val="0"/>
      <w:marBottom w:val="0"/>
      <w:divBdr>
        <w:top w:val="none" w:sz="0" w:space="0" w:color="auto"/>
        <w:left w:val="none" w:sz="0" w:space="0" w:color="auto"/>
        <w:bottom w:val="none" w:sz="0" w:space="0" w:color="auto"/>
        <w:right w:val="none" w:sz="0" w:space="0" w:color="auto"/>
      </w:divBdr>
      <w:divsChild>
        <w:div w:id="140418482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ineducationteam@bristol.gov.uk" TargetMode="External"/><Relationship Id="rId5" Type="http://schemas.openxmlformats.org/officeDocument/2006/relationships/numbering" Target="numbering.xml"/><Relationship Id="rId15" Type="http://schemas.openxmlformats.org/officeDocument/2006/relationships/hyperlink" Target="https://bristolsafeguarding.org/policies-and-guidance/escalation-of-professional-disagreements-safeguarding-childr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TaxCatchAll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19" ma:contentTypeDescription="Create a new document." ma:contentTypeScope="" ma:versionID="395869adc663d3b410120e06cd035380">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34c0f21bb477a01fbc80a0009fbf5017"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86650-9FBA-4BA1-8CA6-DED1BAFE7951}">
  <ds:schemaRefs>
    <ds:schemaRef ds:uri="http://schemas.microsoft.com/sharepoint/v3/contenttype/forms"/>
  </ds:schemaRefs>
</ds:datastoreItem>
</file>

<file path=customXml/itemProps2.xml><?xml version="1.0" encoding="utf-8"?>
<ds:datastoreItem xmlns:ds="http://schemas.openxmlformats.org/officeDocument/2006/customXml" ds:itemID="{DC344A93-4A8D-4F80-B814-1548789614F0}">
  <ds:schemaRefs>
    <ds:schemaRef ds:uri="http://schemas.openxmlformats.org/officeDocument/2006/bibliography"/>
  </ds:schemaRefs>
</ds:datastoreItem>
</file>

<file path=customXml/itemProps3.xml><?xml version="1.0" encoding="utf-8"?>
<ds:datastoreItem xmlns:ds="http://schemas.openxmlformats.org/officeDocument/2006/customXml" ds:itemID="{86B9C682-FE51-4659-A677-26E91DDAEDF3}">
  <ds:schemaRefs>
    <ds:schemaRef ds:uri="http://schemas.microsoft.com/office/2006/metadata/properties"/>
    <ds:schemaRef ds:uri="http://schemas.microsoft.com/office/infopath/2007/PartnerControls"/>
    <ds:schemaRef ds:uri="9ad6a7e5-7e17-4c98-b3ab-518dd187e2c2"/>
    <ds:schemaRef ds:uri="8dbe8c63-433b-43f3-9618-5953c00dffec"/>
  </ds:schemaRefs>
</ds:datastoreItem>
</file>

<file path=customXml/itemProps4.xml><?xml version="1.0" encoding="utf-8"?>
<ds:datastoreItem xmlns:ds="http://schemas.openxmlformats.org/officeDocument/2006/customXml" ds:itemID="{BB778A76-DF6C-47B5-A3DF-343911A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Chan</dc:creator>
  <cp:keywords/>
  <dc:description/>
  <cp:lastModifiedBy>Henry Chan</cp:lastModifiedBy>
  <cp:revision>41</cp:revision>
  <dcterms:created xsi:type="dcterms:W3CDTF">2023-04-28T09:21:00Z</dcterms:created>
  <dcterms:modified xsi:type="dcterms:W3CDTF">2023-04-28T09:52:00Z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