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31" w:type="dxa"/>
        <w:tblLayout w:type="fixed"/>
        <w:tblLook w:val="04A0" w:firstRow="1" w:lastRow="0" w:firstColumn="1" w:lastColumn="0" w:noHBand="0" w:noVBand="1"/>
      </w:tblPr>
      <w:tblGrid>
        <w:gridCol w:w="1135"/>
        <w:gridCol w:w="4643"/>
        <w:gridCol w:w="3177"/>
        <w:gridCol w:w="491"/>
      </w:tblGrid>
      <w:tr w:rsidR="7AFCA51C" w14:paraId="3F53E219" w14:textId="77777777" w:rsidTr="50AE2620">
        <w:tc>
          <w:tcPr>
            <w:tcW w:w="9446" w:type="dxa"/>
            <w:gridSpan w:val="4"/>
          </w:tcPr>
          <w:p w14:paraId="1D321D2C" w14:textId="0CA58015" w:rsidR="7AFCA51C" w:rsidRDefault="7AFCA51C" w:rsidP="00A96105">
            <w:pPr>
              <w:jc w:val="center"/>
              <w:rPr>
                <w:rFonts w:ascii="Arial" w:eastAsia="Arial" w:hAnsi="Arial" w:cs="Arial"/>
                <w:color w:val="000000" w:themeColor="text1"/>
              </w:rPr>
            </w:pPr>
            <w:r w:rsidRPr="54FF1FB0">
              <w:rPr>
                <w:rFonts w:ascii="Arial" w:eastAsia="Arial" w:hAnsi="Arial" w:cs="Arial"/>
                <w:b/>
                <w:bCs/>
                <w:color w:val="000000" w:themeColor="text1"/>
              </w:rPr>
              <w:t>Table of changes of model Safeguarding Child Protection Policy 202</w:t>
            </w:r>
            <w:r w:rsidR="64186A50" w:rsidRPr="54FF1FB0">
              <w:rPr>
                <w:rFonts w:ascii="Arial" w:eastAsia="Arial" w:hAnsi="Arial" w:cs="Arial"/>
                <w:b/>
                <w:bCs/>
                <w:color w:val="000000" w:themeColor="text1"/>
              </w:rPr>
              <w:t>3</w:t>
            </w:r>
            <w:r w:rsidRPr="54FF1FB0">
              <w:rPr>
                <w:rFonts w:ascii="Arial" w:eastAsia="Arial" w:hAnsi="Arial" w:cs="Arial"/>
                <w:b/>
                <w:bCs/>
                <w:color w:val="000000" w:themeColor="text1"/>
              </w:rPr>
              <w:t>-2</w:t>
            </w:r>
            <w:r w:rsidR="26686EB5" w:rsidRPr="54FF1FB0">
              <w:rPr>
                <w:rFonts w:ascii="Arial" w:eastAsia="Arial" w:hAnsi="Arial" w:cs="Arial"/>
                <w:b/>
                <w:bCs/>
                <w:color w:val="000000" w:themeColor="text1"/>
              </w:rPr>
              <w:t>4</w:t>
            </w:r>
          </w:p>
          <w:p w14:paraId="6946AE23" w14:textId="6F286AEB" w:rsidR="7AFCA51C" w:rsidRDefault="7AFCA51C" w:rsidP="7AFCA51C">
            <w:pPr>
              <w:rPr>
                <w:rFonts w:ascii="Arial" w:eastAsia="Arial" w:hAnsi="Arial" w:cs="Arial"/>
                <w:color w:val="000000" w:themeColor="text1"/>
              </w:rPr>
            </w:pPr>
          </w:p>
          <w:p w14:paraId="7598A287" w14:textId="71315A9D"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cyan"/>
              </w:rPr>
              <w:t>Amended</w:t>
            </w:r>
          </w:p>
          <w:p w14:paraId="42C0C359" w14:textId="500CC15B"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green"/>
              </w:rPr>
              <w:t>Added</w:t>
            </w:r>
          </w:p>
          <w:p w14:paraId="28771E8B" w14:textId="246941C8" w:rsidR="00E0239D" w:rsidRDefault="00E0239D" w:rsidP="7AFCA51C">
            <w:pPr>
              <w:rPr>
                <w:rFonts w:ascii="Arial" w:eastAsia="Arial" w:hAnsi="Arial" w:cs="Arial"/>
                <w:color w:val="000000" w:themeColor="text1"/>
              </w:rPr>
            </w:pPr>
            <w:r w:rsidRPr="00CD1B0E">
              <w:rPr>
                <w:rFonts w:ascii="Arial" w:eastAsia="Arial" w:hAnsi="Arial" w:cs="Arial"/>
                <w:color w:val="000000" w:themeColor="text1"/>
                <w:highlight w:val="magenta"/>
              </w:rPr>
              <w:t>Removed</w:t>
            </w:r>
          </w:p>
          <w:p w14:paraId="1EE82034" w14:textId="619E524F" w:rsidR="7AFCA51C" w:rsidRDefault="7AFCA51C" w:rsidP="7AFCA51C">
            <w:pPr>
              <w:ind w:right="-658"/>
              <w:rPr>
                <w:rFonts w:ascii="Arial" w:eastAsia="Arial" w:hAnsi="Arial" w:cs="Arial"/>
                <w:color w:val="000000" w:themeColor="text1"/>
                <w:sz w:val="20"/>
                <w:szCs w:val="20"/>
              </w:rPr>
            </w:pPr>
          </w:p>
        </w:tc>
      </w:tr>
      <w:tr w:rsidR="7AFCA51C" w14:paraId="6C05514D" w14:textId="77777777" w:rsidTr="50AE2620">
        <w:tc>
          <w:tcPr>
            <w:tcW w:w="1135" w:type="dxa"/>
          </w:tcPr>
          <w:p w14:paraId="2FF880F3" w14:textId="356C7846"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Ref</w:t>
            </w:r>
          </w:p>
        </w:tc>
        <w:tc>
          <w:tcPr>
            <w:tcW w:w="4643" w:type="dxa"/>
          </w:tcPr>
          <w:p w14:paraId="3DE8F7DF" w14:textId="44DDF400"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Changes made</w:t>
            </w:r>
          </w:p>
        </w:tc>
        <w:tc>
          <w:tcPr>
            <w:tcW w:w="3177" w:type="dxa"/>
          </w:tcPr>
          <w:p w14:paraId="1DE14305" w14:textId="2860BD4A" w:rsidR="7AFCA51C" w:rsidRDefault="7AFCA51C" w:rsidP="7AFCA51C">
            <w:pPr>
              <w:rPr>
                <w:rFonts w:ascii="Arial" w:eastAsia="Arial" w:hAnsi="Arial" w:cs="Arial"/>
                <w:color w:val="000000" w:themeColor="text1"/>
                <w:sz w:val="20"/>
                <w:szCs w:val="20"/>
              </w:rPr>
            </w:pPr>
            <w:r w:rsidRPr="7AFCA51C">
              <w:rPr>
                <w:rFonts w:ascii="Arial" w:eastAsia="Arial" w:hAnsi="Arial" w:cs="Arial"/>
                <w:color w:val="000000" w:themeColor="text1"/>
                <w:sz w:val="20"/>
                <w:szCs w:val="20"/>
              </w:rPr>
              <w:t>Reasons why</w:t>
            </w:r>
          </w:p>
        </w:tc>
        <w:tc>
          <w:tcPr>
            <w:tcW w:w="491" w:type="dxa"/>
          </w:tcPr>
          <w:p w14:paraId="5F265A81" w14:textId="163E25D1" w:rsidR="7AFCA51C" w:rsidRDefault="7AFCA51C" w:rsidP="7AFCA51C">
            <w:pPr>
              <w:rPr>
                <w:rFonts w:ascii="Arial" w:eastAsia="Arial" w:hAnsi="Arial" w:cs="Arial"/>
                <w:color w:val="000000" w:themeColor="text1"/>
                <w:sz w:val="20"/>
                <w:szCs w:val="20"/>
              </w:rPr>
            </w:pPr>
            <w:r>
              <w:rPr>
                <w:noProof/>
              </w:rPr>
              <w:drawing>
                <wp:inline distT="0" distB="0" distL="0" distR="0" wp14:anchorId="6BD1F865" wp14:editId="2B327478">
                  <wp:extent cx="228600" cy="228600"/>
                  <wp:effectExtent l="0" t="0" r="0" b="0"/>
                  <wp:docPr id="1754334478" name="Picture 175433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r>
      <w:tr w:rsidR="007845C2" w14:paraId="0E6D1926" w14:textId="77777777" w:rsidTr="50AE2620">
        <w:trPr>
          <w:trHeight w:val="629"/>
        </w:trPr>
        <w:tc>
          <w:tcPr>
            <w:tcW w:w="1135" w:type="dxa"/>
            <w:vMerge w:val="restart"/>
          </w:tcPr>
          <w:p w14:paraId="7B05D163" w14:textId="3C56ACB6" w:rsidR="007845C2" w:rsidRDefault="007845C2"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N/A</w:t>
            </w:r>
          </w:p>
        </w:tc>
        <w:tc>
          <w:tcPr>
            <w:tcW w:w="4643" w:type="dxa"/>
          </w:tcPr>
          <w:p w14:paraId="7F3ED3A2" w14:textId="1FF428BC" w:rsidR="007845C2" w:rsidRPr="00F100CA" w:rsidRDefault="007845C2" w:rsidP="53953B44">
            <w:pPr>
              <w:rPr>
                <w:rFonts w:ascii="Arial" w:eastAsia="Arial" w:hAnsi="Arial" w:cs="Arial"/>
                <w:color w:val="000000" w:themeColor="text1"/>
                <w:sz w:val="20"/>
                <w:szCs w:val="20"/>
                <w:highlight w:val="cyan"/>
              </w:rPr>
            </w:pPr>
            <w:r w:rsidRPr="50AE2620">
              <w:rPr>
                <w:rFonts w:ascii="Arial" w:eastAsia="Arial" w:hAnsi="Arial" w:cs="Arial"/>
                <w:color w:val="000000" w:themeColor="text1"/>
                <w:sz w:val="20"/>
                <w:szCs w:val="20"/>
                <w:highlight w:val="cyan"/>
              </w:rPr>
              <w:t xml:space="preserve">Global changes - Replaced reference to Keeping Children Safe in Education </w:t>
            </w:r>
            <w:r w:rsidR="4746D1C4" w:rsidRPr="50AE2620">
              <w:rPr>
                <w:rFonts w:ascii="Arial" w:eastAsia="Arial" w:hAnsi="Arial" w:cs="Arial"/>
                <w:color w:val="000000" w:themeColor="text1"/>
                <w:sz w:val="20"/>
                <w:szCs w:val="20"/>
                <w:highlight w:val="cyan"/>
              </w:rPr>
              <w:t xml:space="preserve">remove the </w:t>
            </w:r>
            <w:proofErr w:type="gramStart"/>
            <w:r w:rsidR="4746D1C4" w:rsidRPr="50AE2620">
              <w:rPr>
                <w:rFonts w:ascii="Arial" w:eastAsia="Arial" w:hAnsi="Arial" w:cs="Arial"/>
                <w:color w:val="000000" w:themeColor="text1"/>
                <w:sz w:val="20"/>
                <w:szCs w:val="20"/>
                <w:highlight w:val="cyan"/>
              </w:rPr>
              <w:t>date</w:t>
            </w:r>
            <w:proofErr w:type="gramEnd"/>
          </w:p>
          <w:p w14:paraId="4192947F" w14:textId="49C51F96" w:rsidR="007845C2" w:rsidRPr="00F100CA" w:rsidRDefault="007845C2" w:rsidP="53953B44">
            <w:pPr>
              <w:rPr>
                <w:rFonts w:ascii="Arial" w:eastAsia="Arial" w:hAnsi="Arial" w:cs="Arial"/>
                <w:color w:val="000000" w:themeColor="text1"/>
                <w:sz w:val="20"/>
                <w:szCs w:val="20"/>
                <w:highlight w:val="cyan"/>
              </w:rPr>
            </w:pPr>
          </w:p>
          <w:p w14:paraId="1204C219" w14:textId="2CF417C9" w:rsidR="50AE2620" w:rsidRDefault="50AE2620" w:rsidP="50AE2620">
            <w:pPr>
              <w:rPr>
                <w:rFonts w:ascii="Arial" w:eastAsia="Arial" w:hAnsi="Arial" w:cs="Arial"/>
                <w:color w:val="000000" w:themeColor="text1"/>
                <w:sz w:val="20"/>
                <w:szCs w:val="20"/>
                <w:highlight w:val="cyan"/>
              </w:rPr>
            </w:pPr>
          </w:p>
          <w:p w14:paraId="7A515558" w14:textId="79349E24" w:rsidR="50AE2620" w:rsidRDefault="50AE2620" w:rsidP="50AE2620">
            <w:pPr>
              <w:rPr>
                <w:rFonts w:ascii="Arial" w:eastAsia="Arial" w:hAnsi="Arial" w:cs="Arial"/>
                <w:color w:val="000000" w:themeColor="text1"/>
                <w:sz w:val="20"/>
                <w:szCs w:val="20"/>
                <w:highlight w:val="cyan"/>
              </w:rPr>
            </w:pPr>
          </w:p>
          <w:p w14:paraId="43F6440B" w14:textId="01B47C9B" w:rsidR="007845C2" w:rsidRPr="00F100CA" w:rsidRDefault="4ED4DB4E" w:rsidP="00881C4F">
            <w:pPr>
              <w:rPr>
                <w:rFonts w:ascii="Arial" w:eastAsia="Arial" w:hAnsi="Arial" w:cs="Arial"/>
                <w:color w:val="000000" w:themeColor="text1"/>
                <w:sz w:val="20"/>
                <w:szCs w:val="20"/>
                <w:highlight w:val="cyan"/>
              </w:rPr>
            </w:pPr>
            <w:r w:rsidRPr="53953B44">
              <w:rPr>
                <w:rFonts w:ascii="Arial" w:eastAsia="Arial" w:hAnsi="Arial" w:cs="Arial"/>
                <w:color w:val="000000" w:themeColor="text1"/>
                <w:sz w:val="20"/>
                <w:szCs w:val="20"/>
                <w:highlight w:val="cyan"/>
              </w:rPr>
              <w:t>Replaced reference to Working Together to Safeguard Children 2018 to remove date</w:t>
            </w:r>
          </w:p>
        </w:tc>
        <w:tc>
          <w:tcPr>
            <w:tcW w:w="3177" w:type="dxa"/>
          </w:tcPr>
          <w:p w14:paraId="57B44602" w14:textId="05D7650E" w:rsidR="007845C2" w:rsidRDefault="67CFB194" w:rsidP="50AE2620">
            <w:pPr>
              <w:rPr>
                <w:rFonts w:ascii="Arial" w:eastAsia="Arial" w:hAnsi="Arial" w:cs="Arial"/>
                <w:color w:val="000000" w:themeColor="text1"/>
                <w:sz w:val="20"/>
                <w:szCs w:val="20"/>
              </w:rPr>
            </w:pPr>
            <w:r w:rsidRPr="50AE2620">
              <w:rPr>
                <w:rFonts w:ascii="Arial" w:eastAsia="Arial" w:hAnsi="Arial" w:cs="Arial"/>
                <w:color w:val="000000" w:themeColor="text1"/>
                <w:sz w:val="20"/>
                <w:szCs w:val="20"/>
              </w:rPr>
              <w:t>To future proof the document</w:t>
            </w:r>
            <w:r w:rsidR="24601084" w:rsidRPr="50AE2620">
              <w:rPr>
                <w:rFonts w:ascii="Arial" w:eastAsia="Arial" w:hAnsi="Arial" w:cs="Arial"/>
                <w:color w:val="000000" w:themeColor="text1"/>
                <w:sz w:val="20"/>
                <w:szCs w:val="20"/>
              </w:rPr>
              <w:t xml:space="preserve"> and ensure changes in newest version of KCSIE 2023</w:t>
            </w:r>
          </w:p>
          <w:p w14:paraId="52475444" w14:textId="42DB94DB" w:rsidR="007845C2" w:rsidRDefault="007845C2" w:rsidP="50AE2620">
            <w:pPr>
              <w:rPr>
                <w:rFonts w:ascii="Arial" w:eastAsia="Arial" w:hAnsi="Arial" w:cs="Arial"/>
                <w:color w:val="000000" w:themeColor="text1"/>
                <w:sz w:val="20"/>
                <w:szCs w:val="20"/>
              </w:rPr>
            </w:pPr>
          </w:p>
          <w:p w14:paraId="3F8E3905" w14:textId="49358055" w:rsidR="007845C2" w:rsidRDefault="007845C2" w:rsidP="53953B44">
            <w:pPr>
              <w:rPr>
                <w:rFonts w:ascii="Arial" w:eastAsia="Arial" w:hAnsi="Arial" w:cs="Arial"/>
                <w:color w:val="000000" w:themeColor="text1"/>
                <w:sz w:val="20"/>
                <w:szCs w:val="20"/>
              </w:rPr>
            </w:pPr>
          </w:p>
          <w:p w14:paraId="58B062F3" w14:textId="473EBF65" w:rsidR="007845C2" w:rsidRDefault="007845C2" w:rsidP="53953B44">
            <w:pPr>
              <w:rPr>
                <w:rFonts w:ascii="Arial" w:eastAsia="Arial" w:hAnsi="Arial" w:cs="Arial"/>
                <w:color w:val="000000" w:themeColor="text1"/>
                <w:sz w:val="20"/>
                <w:szCs w:val="20"/>
              </w:rPr>
            </w:pPr>
          </w:p>
          <w:p w14:paraId="7B9C34CF" w14:textId="7255C753" w:rsidR="007845C2" w:rsidRDefault="21E290F5" w:rsidP="7AFCA51C">
            <w:pPr>
              <w:rPr>
                <w:rFonts w:ascii="Arial" w:eastAsia="Arial" w:hAnsi="Arial" w:cs="Arial"/>
                <w:color w:val="000000" w:themeColor="text1"/>
                <w:sz w:val="20"/>
                <w:szCs w:val="20"/>
              </w:rPr>
            </w:pPr>
            <w:r w:rsidRPr="53953B44">
              <w:rPr>
                <w:rFonts w:ascii="Arial" w:eastAsia="Arial" w:hAnsi="Arial" w:cs="Arial"/>
                <w:color w:val="000000" w:themeColor="text1"/>
                <w:sz w:val="20"/>
                <w:szCs w:val="20"/>
              </w:rPr>
              <w:t xml:space="preserve">To future proof the document </w:t>
            </w:r>
          </w:p>
        </w:tc>
        <w:tc>
          <w:tcPr>
            <w:tcW w:w="491" w:type="dxa"/>
          </w:tcPr>
          <w:p w14:paraId="41DEE739" w14:textId="32AC9CF2" w:rsidR="007845C2" w:rsidRDefault="007845C2" w:rsidP="7AFCA51C">
            <w:pPr>
              <w:rPr>
                <w:rFonts w:ascii="Arial" w:eastAsia="Arial" w:hAnsi="Arial" w:cs="Arial"/>
                <w:color w:val="000000" w:themeColor="text1"/>
                <w:sz w:val="20"/>
                <w:szCs w:val="20"/>
              </w:rPr>
            </w:pPr>
          </w:p>
        </w:tc>
      </w:tr>
      <w:tr w:rsidR="007845C2" w14:paraId="5D2B65A0" w14:textId="77777777" w:rsidTr="50AE2620">
        <w:trPr>
          <w:trHeight w:val="836"/>
        </w:trPr>
        <w:tc>
          <w:tcPr>
            <w:tcW w:w="1135" w:type="dxa"/>
            <w:vMerge/>
            <w:vAlign w:val="center"/>
          </w:tcPr>
          <w:p w14:paraId="57DF93CF" w14:textId="77777777" w:rsidR="007845C2" w:rsidRDefault="007845C2"/>
        </w:tc>
        <w:tc>
          <w:tcPr>
            <w:tcW w:w="4643" w:type="dxa"/>
          </w:tcPr>
          <w:p w14:paraId="1BE462BF" w14:textId="03D833C3" w:rsidR="007845C2" w:rsidRPr="00F100CA" w:rsidRDefault="007845C2" w:rsidP="7AFCA51C">
            <w:pPr>
              <w:rPr>
                <w:rFonts w:ascii="Arial" w:eastAsia="Arial" w:hAnsi="Arial" w:cs="Arial"/>
                <w:color w:val="000000" w:themeColor="text1"/>
                <w:sz w:val="20"/>
                <w:szCs w:val="20"/>
                <w:highlight w:val="cyan"/>
              </w:rPr>
            </w:pPr>
            <w:r w:rsidRPr="50AE2620">
              <w:rPr>
                <w:rFonts w:ascii="Arial" w:eastAsia="Arial" w:hAnsi="Arial" w:cs="Arial"/>
                <w:color w:val="000000" w:themeColor="text1"/>
                <w:sz w:val="20"/>
                <w:szCs w:val="20"/>
                <w:highlight w:val="cyan"/>
              </w:rPr>
              <w:t xml:space="preserve">Global change - Safeguarding in Education Team contact details replaced South Advisor contact details with Helen MacDonald and North Advisor with </w:t>
            </w:r>
            <w:r w:rsidR="429A5DB1" w:rsidRPr="50AE2620">
              <w:rPr>
                <w:rFonts w:ascii="Arial" w:eastAsia="Arial" w:hAnsi="Arial" w:cs="Arial"/>
                <w:color w:val="000000" w:themeColor="text1"/>
                <w:sz w:val="20"/>
                <w:szCs w:val="20"/>
                <w:highlight w:val="cyan"/>
              </w:rPr>
              <w:t>Elisabeth Clark</w:t>
            </w:r>
          </w:p>
        </w:tc>
        <w:tc>
          <w:tcPr>
            <w:tcW w:w="3177" w:type="dxa"/>
          </w:tcPr>
          <w:p w14:paraId="49918252" w14:textId="5603C1D5" w:rsidR="007845C2" w:rsidRDefault="007845C2"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To reflect change in staff for these areas</w:t>
            </w:r>
          </w:p>
        </w:tc>
        <w:tc>
          <w:tcPr>
            <w:tcW w:w="491" w:type="dxa"/>
          </w:tcPr>
          <w:p w14:paraId="5B4B5B61" w14:textId="6918E4E0" w:rsidR="007845C2" w:rsidRDefault="007845C2" w:rsidP="7AFCA51C">
            <w:pPr>
              <w:rPr>
                <w:rFonts w:ascii="Arial" w:eastAsia="Arial" w:hAnsi="Arial" w:cs="Arial"/>
                <w:color w:val="000000" w:themeColor="text1"/>
                <w:sz w:val="20"/>
                <w:szCs w:val="20"/>
              </w:rPr>
            </w:pPr>
          </w:p>
        </w:tc>
      </w:tr>
      <w:tr w:rsidR="007845C2" w14:paraId="3E2C80DB" w14:textId="77777777" w:rsidTr="50AE2620">
        <w:trPr>
          <w:trHeight w:val="842"/>
        </w:trPr>
        <w:tc>
          <w:tcPr>
            <w:tcW w:w="1135" w:type="dxa"/>
            <w:vMerge/>
          </w:tcPr>
          <w:p w14:paraId="40AE3780" w14:textId="5E6288C2" w:rsidR="007845C2" w:rsidRDefault="007845C2" w:rsidP="7AFCA51C">
            <w:pPr>
              <w:rPr>
                <w:rFonts w:ascii="Arial" w:eastAsia="Arial" w:hAnsi="Arial" w:cs="Arial"/>
                <w:color w:val="000000" w:themeColor="text1"/>
                <w:sz w:val="20"/>
                <w:szCs w:val="20"/>
              </w:rPr>
            </w:pPr>
          </w:p>
        </w:tc>
        <w:tc>
          <w:tcPr>
            <w:tcW w:w="4643" w:type="dxa"/>
          </w:tcPr>
          <w:p w14:paraId="51AAA948" w14:textId="08D8526E" w:rsidR="007845C2" w:rsidRPr="00F100CA" w:rsidRDefault="00DF4A7A" w:rsidP="24432E42">
            <w:pPr>
              <w:rPr>
                <w:rFonts w:ascii="Arial" w:eastAsia="Arial" w:hAnsi="Arial" w:cs="Arial"/>
                <w:color w:val="000000" w:themeColor="text1"/>
                <w:sz w:val="20"/>
                <w:szCs w:val="20"/>
                <w:highlight w:val="cyan"/>
              </w:rPr>
            </w:pPr>
            <w:r w:rsidRPr="24432E42">
              <w:rPr>
                <w:rFonts w:ascii="Arial" w:eastAsia="Arial" w:hAnsi="Arial" w:cs="Arial"/>
                <w:color w:val="000000" w:themeColor="text1"/>
                <w:sz w:val="20"/>
                <w:szCs w:val="20"/>
                <w:highlight w:val="cyan"/>
              </w:rPr>
              <w:t>Checked and changed all hyperlinks to websites</w:t>
            </w:r>
            <w:r w:rsidR="00712ACC" w:rsidRPr="24432E42">
              <w:rPr>
                <w:rFonts w:ascii="Arial" w:eastAsia="Arial" w:hAnsi="Arial" w:cs="Arial"/>
                <w:color w:val="000000" w:themeColor="text1"/>
                <w:sz w:val="20"/>
                <w:szCs w:val="20"/>
                <w:highlight w:val="cyan"/>
              </w:rPr>
              <w:t xml:space="preserve"> throughout </w:t>
            </w:r>
            <w:proofErr w:type="gramStart"/>
            <w:r w:rsidR="00712ACC" w:rsidRPr="24432E42">
              <w:rPr>
                <w:rFonts w:ascii="Arial" w:eastAsia="Arial" w:hAnsi="Arial" w:cs="Arial"/>
                <w:color w:val="000000" w:themeColor="text1"/>
                <w:sz w:val="20"/>
                <w:szCs w:val="20"/>
                <w:highlight w:val="cyan"/>
              </w:rPr>
              <w:t>documents</w:t>
            </w:r>
            <w:proofErr w:type="gramEnd"/>
            <w:r w:rsidRPr="24432E42">
              <w:rPr>
                <w:rFonts w:ascii="Arial" w:eastAsia="Arial" w:hAnsi="Arial" w:cs="Arial"/>
                <w:color w:val="000000" w:themeColor="text1"/>
                <w:sz w:val="20"/>
                <w:szCs w:val="20"/>
                <w:highlight w:val="cyan"/>
              </w:rPr>
              <w:t xml:space="preserve"> </w:t>
            </w:r>
          </w:p>
          <w:p w14:paraId="410D9729" w14:textId="50C0580B" w:rsidR="007845C2" w:rsidRPr="00F100CA" w:rsidRDefault="007845C2" w:rsidP="5C86C6BC">
            <w:pPr>
              <w:rPr>
                <w:rFonts w:ascii="Arial" w:eastAsia="Arial" w:hAnsi="Arial" w:cs="Arial"/>
                <w:color w:val="000000" w:themeColor="text1"/>
                <w:sz w:val="20"/>
                <w:szCs w:val="20"/>
                <w:highlight w:val="cyan"/>
              </w:rPr>
            </w:pPr>
          </w:p>
        </w:tc>
        <w:tc>
          <w:tcPr>
            <w:tcW w:w="3177" w:type="dxa"/>
          </w:tcPr>
          <w:p w14:paraId="70221A0B" w14:textId="7A02D664" w:rsidR="007845C2" w:rsidRDefault="00712ACC"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aid accessibility and ensure they function </w:t>
            </w:r>
          </w:p>
        </w:tc>
        <w:tc>
          <w:tcPr>
            <w:tcW w:w="491" w:type="dxa"/>
          </w:tcPr>
          <w:p w14:paraId="6916CCC4" w14:textId="41D6CBDE" w:rsidR="007845C2" w:rsidRDefault="007845C2" w:rsidP="7AFCA51C">
            <w:pPr>
              <w:rPr>
                <w:rFonts w:ascii="Arial" w:eastAsia="Arial" w:hAnsi="Arial" w:cs="Arial"/>
                <w:color w:val="000000" w:themeColor="text1"/>
                <w:sz w:val="20"/>
                <w:szCs w:val="20"/>
              </w:rPr>
            </w:pPr>
          </w:p>
        </w:tc>
      </w:tr>
      <w:tr w:rsidR="007845C2" w14:paraId="0F6D3DD9" w14:textId="77777777" w:rsidTr="50AE2620">
        <w:trPr>
          <w:trHeight w:val="975"/>
        </w:trPr>
        <w:tc>
          <w:tcPr>
            <w:tcW w:w="1135" w:type="dxa"/>
            <w:vMerge w:val="restart"/>
          </w:tcPr>
          <w:p w14:paraId="6A2B6AAD" w14:textId="77777777" w:rsidR="007845C2" w:rsidRDefault="00552530"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1.5</w:t>
            </w:r>
          </w:p>
          <w:p w14:paraId="3C7FF100" w14:textId="77777777" w:rsidR="005452CB" w:rsidRDefault="005452CB" w:rsidP="7AFCA51C">
            <w:pPr>
              <w:rPr>
                <w:rFonts w:ascii="Arial" w:eastAsia="Arial" w:hAnsi="Arial" w:cs="Arial"/>
                <w:color w:val="000000" w:themeColor="text1"/>
                <w:sz w:val="20"/>
                <w:szCs w:val="20"/>
              </w:rPr>
            </w:pPr>
          </w:p>
          <w:p w14:paraId="1CEA86B5" w14:textId="77777777" w:rsidR="005452CB" w:rsidRDefault="005452CB" w:rsidP="7AFCA51C">
            <w:pPr>
              <w:rPr>
                <w:rFonts w:ascii="Arial" w:eastAsia="Arial" w:hAnsi="Arial" w:cs="Arial"/>
                <w:color w:val="000000" w:themeColor="text1"/>
                <w:sz w:val="20"/>
                <w:szCs w:val="20"/>
              </w:rPr>
            </w:pPr>
          </w:p>
          <w:p w14:paraId="39969091" w14:textId="77777777" w:rsidR="005452CB" w:rsidRDefault="005452CB" w:rsidP="7AFCA51C">
            <w:pPr>
              <w:rPr>
                <w:rFonts w:ascii="Arial" w:eastAsia="Arial" w:hAnsi="Arial" w:cs="Arial"/>
                <w:color w:val="000000" w:themeColor="text1"/>
                <w:sz w:val="20"/>
                <w:szCs w:val="20"/>
              </w:rPr>
            </w:pPr>
          </w:p>
          <w:p w14:paraId="65668DB2" w14:textId="77777777" w:rsidR="005452CB" w:rsidRDefault="005452CB" w:rsidP="7AFCA51C">
            <w:pPr>
              <w:rPr>
                <w:rFonts w:ascii="Arial" w:eastAsia="Arial" w:hAnsi="Arial" w:cs="Arial"/>
                <w:color w:val="000000" w:themeColor="text1"/>
                <w:sz w:val="20"/>
                <w:szCs w:val="20"/>
              </w:rPr>
            </w:pPr>
          </w:p>
          <w:p w14:paraId="609B1FE4" w14:textId="77777777" w:rsidR="005452CB" w:rsidRDefault="005452CB" w:rsidP="7AFCA51C">
            <w:pPr>
              <w:rPr>
                <w:rFonts w:ascii="Arial" w:eastAsia="Arial" w:hAnsi="Arial" w:cs="Arial"/>
                <w:color w:val="000000" w:themeColor="text1"/>
                <w:sz w:val="20"/>
                <w:szCs w:val="20"/>
              </w:rPr>
            </w:pPr>
          </w:p>
          <w:p w14:paraId="78CBA268" w14:textId="77777777" w:rsidR="005452CB" w:rsidRDefault="005452CB" w:rsidP="7AFCA51C">
            <w:pPr>
              <w:rPr>
                <w:rFonts w:ascii="Arial" w:eastAsia="Arial" w:hAnsi="Arial" w:cs="Arial"/>
                <w:color w:val="000000" w:themeColor="text1"/>
                <w:sz w:val="20"/>
                <w:szCs w:val="20"/>
              </w:rPr>
            </w:pPr>
          </w:p>
          <w:p w14:paraId="184D7FE5" w14:textId="64061D72" w:rsidR="005452CB" w:rsidRDefault="005452CB"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1.6</w:t>
            </w:r>
          </w:p>
        </w:tc>
        <w:tc>
          <w:tcPr>
            <w:tcW w:w="4643" w:type="dxa"/>
          </w:tcPr>
          <w:p w14:paraId="3DF1F306" w14:textId="037FDC50" w:rsidR="007845C2" w:rsidRPr="00CB018C" w:rsidRDefault="006E2A1C" w:rsidP="00742C55">
            <w:pPr>
              <w:rPr>
                <w:rFonts w:ascii="Arial" w:eastAsia="Arial" w:hAnsi="Arial" w:cs="Arial"/>
                <w:color w:val="000000" w:themeColor="text1"/>
                <w:sz w:val="20"/>
                <w:szCs w:val="20"/>
              </w:rPr>
            </w:pPr>
            <w:r w:rsidRPr="00BB597C">
              <w:rPr>
                <w:rFonts w:ascii="Arial" w:eastAsia="Arial" w:hAnsi="Arial" w:cs="Arial"/>
                <w:color w:val="000000" w:themeColor="text1"/>
                <w:sz w:val="20"/>
                <w:szCs w:val="20"/>
                <w:highlight w:val="green"/>
              </w:rPr>
              <w:t>Added</w:t>
            </w:r>
            <w:r w:rsidR="00BB597C" w:rsidRPr="00BB597C">
              <w:rPr>
                <w:rFonts w:ascii="Arial" w:eastAsia="Arial" w:hAnsi="Arial" w:cs="Arial"/>
                <w:color w:val="000000" w:themeColor="text1"/>
                <w:sz w:val="20"/>
                <w:szCs w:val="20"/>
                <w:highlight w:val="green"/>
              </w:rPr>
              <w:t xml:space="preserve"> to </w:t>
            </w:r>
            <w:r w:rsidR="00BB597C">
              <w:rPr>
                <w:rFonts w:ascii="Arial" w:eastAsia="Arial" w:hAnsi="Arial" w:cs="Arial"/>
                <w:color w:val="000000" w:themeColor="text1"/>
                <w:sz w:val="20"/>
                <w:szCs w:val="20"/>
                <w:highlight w:val="green"/>
              </w:rPr>
              <w:t xml:space="preserve">Role of the </w:t>
            </w:r>
            <w:proofErr w:type="spellStart"/>
            <w:r w:rsidR="00BB597C" w:rsidRPr="00BB597C">
              <w:rPr>
                <w:rFonts w:ascii="Arial" w:eastAsia="Arial" w:hAnsi="Arial" w:cs="Arial"/>
                <w:color w:val="000000" w:themeColor="text1"/>
                <w:sz w:val="20"/>
                <w:szCs w:val="20"/>
                <w:highlight w:val="green"/>
              </w:rPr>
              <w:t>Governoring</w:t>
            </w:r>
            <w:proofErr w:type="spellEnd"/>
            <w:r w:rsidR="00BB597C" w:rsidRPr="00BB597C">
              <w:rPr>
                <w:rFonts w:ascii="Arial" w:eastAsia="Arial" w:hAnsi="Arial" w:cs="Arial"/>
                <w:color w:val="000000" w:themeColor="text1"/>
                <w:sz w:val="20"/>
                <w:szCs w:val="20"/>
                <w:highlight w:val="green"/>
              </w:rPr>
              <w:t xml:space="preserve"> Body</w:t>
            </w:r>
            <w:r>
              <w:rPr>
                <w:rFonts w:ascii="Arial" w:eastAsia="Arial" w:hAnsi="Arial" w:cs="Arial"/>
                <w:color w:val="000000" w:themeColor="text1"/>
                <w:sz w:val="20"/>
                <w:szCs w:val="20"/>
              </w:rPr>
              <w:t xml:space="preserve"> </w:t>
            </w:r>
            <w:r w:rsidRPr="006E2A1C">
              <w:rPr>
                <w:rFonts w:ascii="Arial" w:eastAsia="Arial" w:hAnsi="Arial" w:cs="Arial"/>
                <w:color w:val="000000" w:themeColor="text1"/>
                <w:sz w:val="20"/>
                <w:szCs w:val="20"/>
              </w:rPr>
              <w:t>Ensure they review the Department for Education filtering and monitoring standards and make sure the setting is compliant with the requirements to meet these duties through discussions with IT staff and service providers.</w:t>
            </w:r>
          </w:p>
        </w:tc>
        <w:tc>
          <w:tcPr>
            <w:tcW w:w="3177" w:type="dxa"/>
          </w:tcPr>
          <w:p w14:paraId="32AFA333" w14:textId="77777777" w:rsidR="00192B73" w:rsidRDefault="00192B73" w:rsidP="00192B73">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67362BC7" w14:textId="34AA2548" w:rsidR="007845C2" w:rsidRPr="00C84B24" w:rsidRDefault="007845C2" w:rsidP="00F5776F">
            <w:pPr>
              <w:rPr>
                <w:rFonts w:ascii="Arial" w:eastAsia="Arial" w:hAnsi="Arial" w:cs="Arial"/>
                <w:color w:val="000000" w:themeColor="text1"/>
                <w:sz w:val="20"/>
                <w:szCs w:val="20"/>
              </w:rPr>
            </w:pPr>
          </w:p>
        </w:tc>
        <w:tc>
          <w:tcPr>
            <w:tcW w:w="491" w:type="dxa"/>
          </w:tcPr>
          <w:p w14:paraId="219D08E4" w14:textId="0F611A01" w:rsidR="007845C2" w:rsidRDefault="007845C2" w:rsidP="7AFCA51C">
            <w:pPr>
              <w:rPr>
                <w:rFonts w:ascii="Arial" w:eastAsia="Arial" w:hAnsi="Arial" w:cs="Arial"/>
                <w:color w:val="000000" w:themeColor="text1"/>
                <w:sz w:val="20"/>
                <w:szCs w:val="20"/>
              </w:rPr>
            </w:pPr>
          </w:p>
        </w:tc>
      </w:tr>
      <w:tr w:rsidR="003D5D8B" w14:paraId="0A86980F" w14:textId="77777777" w:rsidTr="50AE2620">
        <w:trPr>
          <w:trHeight w:val="975"/>
        </w:trPr>
        <w:tc>
          <w:tcPr>
            <w:tcW w:w="1135" w:type="dxa"/>
            <w:vMerge/>
          </w:tcPr>
          <w:p w14:paraId="5C38761B" w14:textId="77777777" w:rsidR="003D5D8B" w:rsidRDefault="003D5D8B" w:rsidP="7AFCA51C">
            <w:pPr>
              <w:rPr>
                <w:rFonts w:ascii="Arial" w:eastAsia="Arial" w:hAnsi="Arial" w:cs="Arial"/>
                <w:color w:val="000000" w:themeColor="text1"/>
                <w:sz w:val="20"/>
                <w:szCs w:val="20"/>
              </w:rPr>
            </w:pPr>
          </w:p>
        </w:tc>
        <w:tc>
          <w:tcPr>
            <w:tcW w:w="4643" w:type="dxa"/>
          </w:tcPr>
          <w:p w14:paraId="34A9783B" w14:textId="133D1EA4" w:rsidR="003D5D8B" w:rsidRDefault="003D5D8B" w:rsidP="00742C55">
            <w:pPr>
              <w:rPr>
                <w:rFonts w:ascii="Arial" w:eastAsia="Arial" w:hAnsi="Arial" w:cs="Arial"/>
                <w:color w:val="000000" w:themeColor="text1"/>
                <w:sz w:val="20"/>
                <w:szCs w:val="20"/>
              </w:rPr>
            </w:pPr>
            <w:r w:rsidRPr="001802C4">
              <w:rPr>
                <w:rFonts w:ascii="Arial" w:eastAsia="Arial" w:hAnsi="Arial" w:cs="Arial"/>
                <w:color w:val="000000" w:themeColor="text1"/>
                <w:sz w:val="20"/>
                <w:szCs w:val="20"/>
                <w:highlight w:val="cyan"/>
              </w:rPr>
              <w:t xml:space="preserve">Amended to All Staff </w:t>
            </w:r>
          </w:p>
          <w:p w14:paraId="64763497" w14:textId="77777777" w:rsidR="003D5D8B" w:rsidRDefault="003D5D8B" w:rsidP="00742C55">
            <w:pPr>
              <w:rPr>
                <w:rFonts w:ascii="Arial" w:eastAsia="Arial" w:hAnsi="Arial" w:cs="Arial"/>
                <w:color w:val="000000" w:themeColor="text1"/>
                <w:sz w:val="20"/>
                <w:szCs w:val="20"/>
              </w:rPr>
            </w:pPr>
          </w:p>
          <w:p w14:paraId="25CC77CC" w14:textId="77777777" w:rsidR="003D5D8B" w:rsidRPr="00B26F0B" w:rsidRDefault="003D5D8B" w:rsidP="001802C4">
            <w:pPr>
              <w:pStyle w:val="Default"/>
              <w:numPr>
                <w:ilvl w:val="0"/>
                <w:numId w:val="11"/>
              </w:numPr>
              <w:autoSpaceDE w:val="0"/>
              <w:autoSpaceDN w:val="0"/>
              <w:adjustRightInd w:val="0"/>
              <w:spacing w:line="276" w:lineRule="auto"/>
              <w:ind w:left="714" w:hanging="357"/>
              <w:rPr>
                <w:sz w:val="22"/>
                <w:szCs w:val="22"/>
              </w:rPr>
            </w:pPr>
            <w:r w:rsidRPr="00B26F0B">
              <w:rPr>
                <w:sz w:val="22"/>
                <w:szCs w:val="22"/>
              </w:rPr>
              <w:t>Governing bodies and proprietors will ensure that all staff members undergo safeguarding and child protection</w:t>
            </w:r>
            <w:r>
              <w:rPr>
                <w:sz w:val="22"/>
                <w:szCs w:val="22"/>
              </w:rPr>
              <w:t xml:space="preserve"> </w:t>
            </w:r>
            <w:r w:rsidRPr="00B26F0B">
              <w:rPr>
                <w:sz w:val="22"/>
                <w:szCs w:val="22"/>
              </w:rPr>
              <w:t xml:space="preserve">training </w:t>
            </w:r>
            <w:r>
              <w:rPr>
                <w:sz w:val="22"/>
                <w:szCs w:val="22"/>
              </w:rPr>
              <w:t>(</w:t>
            </w:r>
            <w:r w:rsidRPr="00B26F0B">
              <w:rPr>
                <w:sz w:val="22"/>
                <w:szCs w:val="22"/>
              </w:rPr>
              <w:t>including online safety</w:t>
            </w:r>
            <w:r w:rsidRPr="00094A7E">
              <w:rPr>
                <w:sz w:val="22"/>
                <w:szCs w:val="22"/>
              </w:rPr>
              <w:t>,</w:t>
            </w:r>
            <w:r>
              <w:rPr>
                <w:sz w:val="22"/>
                <w:szCs w:val="22"/>
              </w:rPr>
              <w:t xml:space="preserve"> </w:t>
            </w:r>
            <w:r w:rsidRPr="001802C4">
              <w:rPr>
                <w:sz w:val="22"/>
                <w:szCs w:val="22"/>
                <w:highlight w:val="cyan"/>
              </w:rPr>
              <w:t xml:space="preserve">which, amongst other things, includes an understanding of the expectations, applicable </w:t>
            </w:r>
            <w:proofErr w:type="gramStart"/>
            <w:r w:rsidRPr="001802C4">
              <w:rPr>
                <w:sz w:val="22"/>
                <w:szCs w:val="22"/>
                <w:highlight w:val="cyan"/>
              </w:rPr>
              <w:t>roles</w:t>
            </w:r>
            <w:proofErr w:type="gramEnd"/>
            <w:r w:rsidRPr="001802C4">
              <w:rPr>
                <w:sz w:val="22"/>
                <w:szCs w:val="22"/>
                <w:highlight w:val="cyan"/>
              </w:rPr>
              <w:t xml:space="preserve"> and responsibilities in relation to filtering and monitoring)</w:t>
            </w:r>
            <w:r w:rsidRPr="00B26F0B">
              <w:rPr>
                <w:sz w:val="22"/>
                <w:szCs w:val="22"/>
              </w:rPr>
              <w:t xml:space="preserve"> at induction.</w:t>
            </w:r>
          </w:p>
          <w:p w14:paraId="5426E201" w14:textId="77777777" w:rsidR="003D5D8B" w:rsidRDefault="003D5D8B" w:rsidP="00742C55"/>
          <w:p w14:paraId="72B91900" w14:textId="77777777" w:rsidR="003D5D8B" w:rsidRPr="00B26F0B" w:rsidRDefault="003D5D8B" w:rsidP="00485EB0">
            <w:pPr>
              <w:pStyle w:val="Default"/>
              <w:numPr>
                <w:ilvl w:val="0"/>
                <w:numId w:val="11"/>
              </w:numPr>
              <w:autoSpaceDE w:val="0"/>
              <w:autoSpaceDN w:val="0"/>
              <w:adjustRightInd w:val="0"/>
              <w:spacing w:line="276" w:lineRule="auto"/>
              <w:ind w:left="714" w:hanging="357"/>
              <w:rPr>
                <w:sz w:val="22"/>
                <w:szCs w:val="22"/>
              </w:rPr>
            </w:pPr>
            <w:r w:rsidRPr="00B26F0B">
              <w:rPr>
                <w:sz w:val="22"/>
                <w:szCs w:val="22"/>
              </w:rPr>
              <w:t>Will receive appropriate safeguarding and child protection</w:t>
            </w:r>
            <w:r>
              <w:rPr>
                <w:sz w:val="22"/>
                <w:szCs w:val="22"/>
              </w:rPr>
              <w:t xml:space="preserve"> refresher </w:t>
            </w:r>
            <w:r w:rsidRPr="00B26F0B">
              <w:rPr>
                <w:sz w:val="22"/>
                <w:szCs w:val="22"/>
              </w:rPr>
              <w:t xml:space="preserve">training </w:t>
            </w:r>
            <w:r>
              <w:rPr>
                <w:sz w:val="22"/>
                <w:szCs w:val="22"/>
              </w:rPr>
              <w:t>(</w:t>
            </w:r>
            <w:r w:rsidRPr="00B26F0B">
              <w:rPr>
                <w:sz w:val="22"/>
                <w:szCs w:val="22"/>
              </w:rPr>
              <w:t>including online safety</w:t>
            </w:r>
            <w:r>
              <w:t xml:space="preserve"> </w:t>
            </w:r>
            <w:r w:rsidRPr="001802C4">
              <w:rPr>
                <w:sz w:val="22"/>
                <w:szCs w:val="22"/>
                <w:highlight w:val="cyan"/>
              </w:rPr>
              <w:t>incorporating</w:t>
            </w:r>
            <w:r w:rsidRPr="001802C4">
              <w:rPr>
                <w:highlight w:val="cyan"/>
              </w:rPr>
              <w:t xml:space="preserve"> </w:t>
            </w:r>
            <w:r w:rsidRPr="001802C4">
              <w:rPr>
                <w:sz w:val="22"/>
                <w:szCs w:val="22"/>
                <w:highlight w:val="cyan"/>
              </w:rPr>
              <w:t>staff responsibilities in relation to filtering and monitoring)</w:t>
            </w:r>
            <w:r w:rsidRPr="00B26F0B">
              <w:rPr>
                <w:sz w:val="22"/>
                <w:szCs w:val="22"/>
              </w:rPr>
              <w:t xml:space="preserve"> </w:t>
            </w:r>
            <w:r>
              <w:rPr>
                <w:sz w:val="22"/>
                <w:szCs w:val="22"/>
              </w:rPr>
              <w:t>at least annually (via formal training, email e-bulletins</w:t>
            </w:r>
            <w:r w:rsidRPr="57BA8E3D">
              <w:rPr>
                <w:sz w:val="22"/>
                <w:szCs w:val="22"/>
              </w:rPr>
              <w:t xml:space="preserve"> and</w:t>
            </w:r>
            <w:r>
              <w:rPr>
                <w:sz w:val="22"/>
                <w:szCs w:val="22"/>
              </w:rPr>
              <w:t xml:space="preserve"> staff meetings). </w:t>
            </w:r>
          </w:p>
          <w:p w14:paraId="3DE7E59A" w14:textId="77777777" w:rsidR="003D5D8B" w:rsidRDefault="003D5D8B" w:rsidP="00742C55"/>
          <w:p w14:paraId="04601B1E" w14:textId="77777777" w:rsidR="003D5D8B" w:rsidRPr="001802C4" w:rsidRDefault="003D5D8B" w:rsidP="001802C4">
            <w:pPr>
              <w:pStyle w:val="Default"/>
              <w:numPr>
                <w:ilvl w:val="0"/>
                <w:numId w:val="11"/>
              </w:numPr>
              <w:spacing w:line="276" w:lineRule="auto"/>
              <w:rPr>
                <w:sz w:val="22"/>
                <w:szCs w:val="22"/>
              </w:rPr>
            </w:pPr>
            <w:r w:rsidRPr="001802C4">
              <w:rPr>
                <w:sz w:val="22"/>
                <w:szCs w:val="22"/>
              </w:rPr>
              <w:t xml:space="preserve">Staff training includes clear reference to internal whistleblowing policy, </w:t>
            </w:r>
            <w:r w:rsidRPr="001802C4">
              <w:rPr>
                <w:sz w:val="22"/>
                <w:szCs w:val="22"/>
                <w:highlight w:val="cyan"/>
              </w:rPr>
              <w:t>the role of the Local Authority Designated Officer</w:t>
            </w:r>
            <w:r w:rsidRPr="001802C4">
              <w:rPr>
                <w:sz w:val="22"/>
                <w:szCs w:val="22"/>
              </w:rPr>
              <w:t xml:space="preserve"> and guidance for escalating concerns.</w:t>
            </w:r>
          </w:p>
          <w:p w14:paraId="7D17C777" w14:textId="77777777" w:rsidR="003D5D8B" w:rsidRPr="008C240C" w:rsidRDefault="003D5D8B" w:rsidP="00742C55">
            <w:pPr>
              <w:rPr>
                <w:rFonts w:ascii="Arial" w:eastAsia="Arial" w:hAnsi="Arial" w:cs="Arial"/>
                <w:color w:val="000000" w:themeColor="text1"/>
                <w:sz w:val="20"/>
                <w:szCs w:val="20"/>
                <w:highlight w:val="magenta"/>
              </w:rPr>
            </w:pPr>
          </w:p>
        </w:tc>
        <w:tc>
          <w:tcPr>
            <w:tcW w:w="3177" w:type="dxa"/>
            <w:vMerge w:val="restart"/>
          </w:tcPr>
          <w:p w14:paraId="75FCFD06" w14:textId="77777777" w:rsidR="003D5D8B" w:rsidRDefault="003D5D8B" w:rsidP="00C7376A">
            <w:p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 xml:space="preserve">To reflect updated statutory </w:t>
            </w:r>
            <w:proofErr w:type="gramStart"/>
            <w:r>
              <w:rPr>
                <w:rFonts w:ascii="Arial" w:eastAsia="Arial" w:hAnsi="Arial" w:cs="Arial"/>
                <w:color w:val="000000" w:themeColor="text1"/>
                <w:sz w:val="20"/>
                <w:szCs w:val="20"/>
              </w:rPr>
              <w:t>guidance</w:t>
            </w:r>
            <w:proofErr w:type="gramEnd"/>
          </w:p>
          <w:p w14:paraId="00E6AC2D" w14:textId="77777777" w:rsidR="003D5D8B" w:rsidRDefault="003D5D8B" w:rsidP="00742C55">
            <w:pPr>
              <w:rPr>
                <w:rFonts w:ascii="Arial" w:eastAsia="Arial" w:hAnsi="Arial" w:cs="Arial"/>
                <w:color w:val="000000" w:themeColor="text1"/>
                <w:sz w:val="20"/>
                <w:szCs w:val="20"/>
              </w:rPr>
            </w:pPr>
          </w:p>
          <w:p w14:paraId="2B0FDE56" w14:textId="77777777" w:rsidR="00321580" w:rsidRDefault="00321580" w:rsidP="00742C55">
            <w:pPr>
              <w:rPr>
                <w:rFonts w:ascii="Arial" w:eastAsia="Arial" w:hAnsi="Arial" w:cs="Arial"/>
                <w:color w:val="000000" w:themeColor="text1"/>
                <w:sz w:val="20"/>
                <w:szCs w:val="20"/>
              </w:rPr>
            </w:pPr>
          </w:p>
          <w:p w14:paraId="68FA961A" w14:textId="77777777" w:rsidR="00321580" w:rsidRDefault="00321580" w:rsidP="00742C55">
            <w:pPr>
              <w:rPr>
                <w:rFonts w:ascii="Arial" w:eastAsia="Arial" w:hAnsi="Arial" w:cs="Arial"/>
                <w:color w:val="000000" w:themeColor="text1"/>
                <w:sz w:val="20"/>
                <w:szCs w:val="20"/>
              </w:rPr>
            </w:pPr>
          </w:p>
          <w:p w14:paraId="48DA637B" w14:textId="77777777" w:rsidR="00321580" w:rsidRDefault="00321580" w:rsidP="00742C55">
            <w:pPr>
              <w:rPr>
                <w:rFonts w:ascii="Arial" w:eastAsia="Arial" w:hAnsi="Arial" w:cs="Arial"/>
                <w:color w:val="000000" w:themeColor="text1"/>
                <w:sz w:val="20"/>
                <w:szCs w:val="20"/>
              </w:rPr>
            </w:pPr>
          </w:p>
          <w:p w14:paraId="63C2E01C" w14:textId="77777777" w:rsidR="00321580" w:rsidRDefault="00321580" w:rsidP="00742C55">
            <w:pPr>
              <w:rPr>
                <w:rFonts w:ascii="Arial" w:eastAsia="Arial" w:hAnsi="Arial" w:cs="Arial"/>
                <w:color w:val="000000" w:themeColor="text1"/>
                <w:sz w:val="20"/>
                <w:szCs w:val="20"/>
              </w:rPr>
            </w:pPr>
          </w:p>
          <w:p w14:paraId="5092C545" w14:textId="77777777" w:rsidR="00321580" w:rsidRDefault="00321580" w:rsidP="00742C55">
            <w:pPr>
              <w:rPr>
                <w:rFonts w:ascii="Arial" w:eastAsia="Arial" w:hAnsi="Arial" w:cs="Arial"/>
                <w:color w:val="000000" w:themeColor="text1"/>
                <w:sz w:val="20"/>
                <w:szCs w:val="20"/>
              </w:rPr>
            </w:pPr>
          </w:p>
          <w:p w14:paraId="00B6CCEF" w14:textId="77777777" w:rsidR="00321580" w:rsidRDefault="00321580" w:rsidP="00742C55">
            <w:pPr>
              <w:rPr>
                <w:rFonts w:ascii="Arial" w:eastAsia="Arial" w:hAnsi="Arial" w:cs="Arial"/>
                <w:color w:val="000000" w:themeColor="text1"/>
                <w:sz w:val="20"/>
                <w:szCs w:val="20"/>
              </w:rPr>
            </w:pPr>
          </w:p>
          <w:p w14:paraId="69C860BE" w14:textId="77777777" w:rsidR="00321580" w:rsidRDefault="00321580" w:rsidP="00742C55">
            <w:pPr>
              <w:rPr>
                <w:rFonts w:ascii="Arial" w:eastAsia="Arial" w:hAnsi="Arial" w:cs="Arial"/>
                <w:color w:val="000000" w:themeColor="text1"/>
                <w:sz w:val="20"/>
                <w:szCs w:val="20"/>
              </w:rPr>
            </w:pPr>
          </w:p>
          <w:p w14:paraId="3DFF5B5D" w14:textId="77777777" w:rsidR="00321580" w:rsidRDefault="00321580" w:rsidP="00742C55">
            <w:pPr>
              <w:rPr>
                <w:rFonts w:ascii="Arial" w:eastAsia="Arial" w:hAnsi="Arial" w:cs="Arial"/>
                <w:color w:val="000000" w:themeColor="text1"/>
                <w:sz w:val="20"/>
                <w:szCs w:val="20"/>
              </w:rPr>
            </w:pPr>
          </w:p>
          <w:p w14:paraId="065D840F" w14:textId="77777777" w:rsidR="00321580" w:rsidRDefault="00321580" w:rsidP="00742C55">
            <w:pPr>
              <w:rPr>
                <w:rFonts w:ascii="Arial" w:eastAsia="Arial" w:hAnsi="Arial" w:cs="Arial"/>
                <w:color w:val="000000" w:themeColor="text1"/>
                <w:sz w:val="20"/>
                <w:szCs w:val="20"/>
              </w:rPr>
            </w:pPr>
          </w:p>
          <w:p w14:paraId="2E95D652" w14:textId="77777777" w:rsidR="00321580" w:rsidRDefault="00321580" w:rsidP="00742C55">
            <w:pPr>
              <w:rPr>
                <w:rFonts w:ascii="Arial" w:eastAsia="Arial" w:hAnsi="Arial" w:cs="Arial"/>
                <w:color w:val="000000" w:themeColor="text1"/>
                <w:sz w:val="20"/>
                <w:szCs w:val="20"/>
              </w:rPr>
            </w:pPr>
          </w:p>
          <w:p w14:paraId="0A0D7B52" w14:textId="77777777" w:rsidR="00321580" w:rsidRDefault="00321580" w:rsidP="00742C55">
            <w:pPr>
              <w:rPr>
                <w:rFonts w:ascii="Arial" w:eastAsia="Arial" w:hAnsi="Arial" w:cs="Arial"/>
                <w:color w:val="000000" w:themeColor="text1"/>
                <w:sz w:val="20"/>
                <w:szCs w:val="20"/>
              </w:rPr>
            </w:pPr>
          </w:p>
          <w:p w14:paraId="469BF8AF" w14:textId="77777777" w:rsidR="00321580" w:rsidRDefault="00321580" w:rsidP="00742C55">
            <w:pPr>
              <w:rPr>
                <w:rFonts w:ascii="Arial" w:eastAsia="Arial" w:hAnsi="Arial" w:cs="Arial"/>
                <w:color w:val="000000" w:themeColor="text1"/>
                <w:sz w:val="20"/>
                <w:szCs w:val="20"/>
              </w:rPr>
            </w:pPr>
          </w:p>
          <w:p w14:paraId="64F2A33B" w14:textId="77777777" w:rsidR="00321580" w:rsidRDefault="00321580" w:rsidP="0032158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652F81D9" w14:textId="77777777" w:rsidR="00321580" w:rsidRDefault="00321580" w:rsidP="00742C55">
            <w:pPr>
              <w:rPr>
                <w:rFonts w:ascii="Arial" w:eastAsia="Arial" w:hAnsi="Arial" w:cs="Arial"/>
                <w:color w:val="000000" w:themeColor="text1"/>
                <w:sz w:val="20"/>
                <w:szCs w:val="20"/>
              </w:rPr>
            </w:pPr>
          </w:p>
          <w:p w14:paraId="5072AB2E" w14:textId="77777777" w:rsidR="00321580" w:rsidRDefault="00321580" w:rsidP="00742C55">
            <w:pPr>
              <w:rPr>
                <w:rFonts w:ascii="Arial" w:eastAsia="Arial" w:hAnsi="Arial" w:cs="Arial"/>
                <w:color w:val="000000" w:themeColor="text1"/>
                <w:sz w:val="20"/>
                <w:szCs w:val="20"/>
              </w:rPr>
            </w:pPr>
          </w:p>
          <w:p w14:paraId="4708790D" w14:textId="77777777" w:rsidR="00321580" w:rsidRDefault="00321580" w:rsidP="00742C55">
            <w:pPr>
              <w:rPr>
                <w:rFonts w:ascii="Arial" w:eastAsia="Arial" w:hAnsi="Arial" w:cs="Arial"/>
                <w:color w:val="000000" w:themeColor="text1"/>
                <w:sz w:val="20"/>
                <w:szCs w:val="20"/>
              </w:rPr>
            </w:pPr>
          </w:p>
          <w:p w14:paraId="6D9E9BD0" w14:textId="77777777" w:rsidR="00321580" w:rsidRDefault="00321580" w:rsidP="00742C55">
            <w:pPr>
              <w:rPr>
                <w:rFonts w:ascii="Arial" w:eastAsia="Arial" w:hAnsi="Arial" w:cs="Arial"/>
                <w:color w:val="000000" w:themeColor="text1"/>
                <w:sz w:val="20"/>
                <w:szCs w:val="20"/>
              </w:rPr>
            </w:pPr>
          </w:p>
          <w:p w14:paraId="55555C8E" w14:textId="77777777" w:rsidR="00321580" w:rsidRDefault="00321580" w:rsidP="00742C55">
            <w:pPr>
              <w:rPr>
                <w:rFonts w:ascii="Arial" w:eastAsia="Arial" w:hAnsi="Arial" w:cs="Arial"/>
                <w:color w:val="000000" w:themeColor="text1"/>
                <w:sz w:val="20"/>
                <w:szCs w:val="20"/>
              </w:rPr>
            </w:pPr>
          </w:p>
          <w:p w14:paraId="32E4030B" w14:textId="77777777" w:rsidR="00321580" w:rsidRDefault="00321580" w:rsidP="00742C55">
            <w:pPr>
              <w:rPr>
                <w:rFonts w:ascii="Arial" w:eastAsia="Arial" w:hAnsi="Arial" w:cs="Arial"/>
                <w:color w:val="000000" w:themeColor="text1"/>
                <w:sz w:val="20"/>
                <w:szCs w:val="20"/>
              </w:rPr>
            </w:pPr>
          </w:p>
          <w:p w14:paraId="1CDEF48F" w14:textId="77777777" w:rsidR="00321580" w:rsidRDefault="00321580" w:rsidP="00742C55">
            <w:pPr>
              <w:rPr>
                <w:rFonts w:ascii="Arial" w:eastAsia="Arial" w:hAnsi="Arial" w:cs="Arial"/>
                <w:color w:val="000000" w:themeColor="text1"/>
                <w:sz w:val="20"/>
                <w:szCs w:val="20"/>
              </w:rPr>
            </w:pPr>
          </w:p>
          <w:p w14:paraId="57F9BF83" w14:textId="77777777" w:rsidR="00321580" w:rsidRDefault="00321580" w:rsidP="00742C55">
            <w:pPr>
              <w:rPr>
                <w:rFonts w:ascii="Arial" w:eastAsia="Arial" w:hAnsi="Arial" w:cs="Arial"/>
                <w:color w:val="000000" w:themeColor="text1"/>
                <w:sz w:val="20"/>
                <w:szCs w:val="20"/>
              </w:rPr>
            </w:pPr>
          </w:p>
          <w:p w14:paraId="3E4BB360" w14:textId="77777777" w:rsidR="00321580" w:rsidRDefault="00321580" w:rsidP="00742C55">
            <w:pPr>
              <w:rPr>
                <w:rFonts w:ascii="Arial" w:eastAsia="Arial" w:hAnsi="Arial" w:cs="Arial"/>
                <w:color w:val="000000" w:themeColor="text1"/>
                <w:sz w:val="20"/>
                <w:szCs w:val="20"/>
              </w:rPr>
            </w:pPr>
          </w:p>
          <w:p w14:paraId="0FAF7DCA" w14:textId="77777777" w:rsidR="00321580" w:rsidRDefault="00321580" w:rsidP="0032158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3BB31C90" w14:textId="77777777" w:rsidR="00321580" w:rsidRDefault="00321580" w:rsidP="00742C55">
            <w:pPr>
              <w:rPr>
                <w:rFonts w:ascii="Arial" w:eastAsia="Arial" w:hAnsi="Arial" w:cs="Arial"/>
                <w:color w:val="000000" w:themeColor="text1"/>
                <w:sz w:val="20"/>
                <w:szCs w:val="20"/>
              </w:rPr>
            </w:pPr>
          </w:p>
          <w:p w14:paraId="129197B4" w14:textId="77777777" w:rsidR="00321580" w:rsidRDefault="00321580" w:rsidP="00742C55">
            <w:pPr>
              <w:rPr>
                <w:rFonts w:ascii="Arial" w:eastAsia="Arial" w:hAnsi="Arial" w:cs="Arial"/>
                <w:color w:val="000000" w:themeColor="text1"/>
                <w:sz w:val="20"/>
                <w:szCs w:val="20"/>
              </w:rPr>
            </w:pPr>
          </w:p>
          <w:p w14:paraId="1914BCDA" w14:textId="77777777" w:rsidR="00321580" w:rsidRDefault="00321580" w:rsidP="00742C55">
            <w:pPr>
              <w:rPr>
                <w:rFonts w:ascii="Arial" w:eastAsia="Arial" w:hAnsi="Arial" w:cs="Arial"/>
                <w:color w:val="000000" w:themeColor="text1"/>
                <w:sz w:val="20"/>
                <w:szCs w:val="20"/>
              </w:rPr>
            </w:pPr>
          </w:p>
          <w:p w14:paraId="7EA8AC1D" w14:textId="77777777" w:rsidR="00321580" w:rsidRDefault="00321580" w:rsidP="00742C55">
            <w:pPr>
              <w:rPr>
                <w:rFonts w:ascii="Arial" w:eastAsia="Arial" w:hAnsi="Arial" w:cs="Arial"/>
                <w:color w:val="000000" w:themeColor="text1"/>
                <w:sz w:val="20"/>
                <w:szCs w:val="20"/>
              </w:rPr>
            </w:pPr>
          </w:p>
          <w:p w14:paraId="4F7B7938" w14:textId="77777777" w:rsidR="00321580" w:rsidRDefault="00321580" w:rsidP="00742C55">
            <w:pPr>
              <w:rPr>
                <w:rFonts w:ascii="Arial" w:eastAsia="Arial" w:hAnsi="Arial" w:cs="Arial"/>
                <w:color w:val="000000" w:themeColor="text1"/>
                <w:sz w:val="20"/>
                <w:szCs w:val="20"/>
              </w:rPr>
            </w:pPr>
          </w:p>
          <w:p w14:paraId="710CBAD2" w14:textId="77777777" w:rsidR="00321580" w:rsidRDefault="00321580" w:rsidP="00742C55">
            <w:pPr>
              <w:rPr>
                <w:rFonts w:ascii="Arial" w:eastAsia="Arial" w:hAnsi="Arial" w:cs="Arial"/>
                <w:color w:val="000000" w:themeColor="text1"/>
                <w:sz w:val="20"/>
                <w:szCs w:val="20"/>
              </w:rPr>
            </w:pPr>
          </w:p>
          <w:p w14:paraId="7FF791A8" w14:textId="77777777" w:rsidR="00321580" w:rsidRDefault="00321580" w:rsidP="00742C55">
            <w:pPr>
              <w:rPr>
                <w:rFonts w:ascii="Arial" w:eastAsia="Arial" w:hAnsi="Arial" w:cs="Arial"/>
                <w:color w:val="000000" w:themeColor="text1"/>
                <w:sz w:val="20"/>
                <w:szCs w:val="20"/>
              </w:rPr>
            </w:pPr>
          </w:p>
          <w:p w14:paraId="0F1EB7FF" w14:textId="77777777" w:rsidR="00321580" w:rsidRDefault="00321580" w:rsidP="00742C55">
            <w:pPr>
              <w:rPr>
                <w:rFonts w:ascii="Arial" w:eastAsia="Arial" w:hAnsi="Arial" w:cs="Arial"/>
                <w:color w:val="000000" w:themeColor="text1"/>
                <w:sz w:val="20"/>
                <w:szCs w:val="20"/>
              </w:rPr>
            </w:pPr>
          </w:p>
          <w:p w14:paraId="288562A4" w14:textId="77777777" w:rsidR="00321580" w:rsidRDefault="00321580" w:rsidP="0032158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1DD7867A" w14:textId="77777777" w:rsidR="00321580" w:rsidRDefault="00321580" w:rsidP="00742C55">
            <w:pPr>
              <w:rPr>
                <w:rFonts w:ascii="Arial" w:eastAsia="Arial" w:hAnsi="Arial" w:cs="Arial"/>
                <w:color w:val="000000" w:themeColor="text1"/>
                <w:sz w:val="20"/>
                <w:szCs w:val="20"/>
              </w:rPr>
            </w:pPr>
          </w:p>
          <w:p w14:paraId="18A61CD0" w14:textId="77777777" w:rsidR="00321580" w:rsidRDefault="00321580" w:rsidP="00742C55">
            <w:pPr>
              <w:rPr>
                <w:rFonts w:ascii="Arial" w:eastAsia="Arial" w:hAnsi="Arial" w:cs="Arial"/>
                <w:color w:val="000000" w:themeColor="text1"/>
                <w:sz w:val="20"/>
                <w:szCs w:val="20"/>
              </w:rPr>
            </w:pPr>
          </w:p>
          <w:p w14:paraId="60E23144" w14:textId="77777777" w:rsidR="00321580" w:rsidRDefault="00321580" w:rsidP="00742C55">
            <w:pPr>
              <w:rPr>
                <w:rFonts w:ascii="Arial" w:eastAsia="Arial" w:hAnsi="Arial" w:cs="Arial"/>
                <w:color w:val="000000" w:themeColor="text1"/>
                <w:sz w:val="20"/>
                <w:szCs w:val="20"/>
              </w:rPr>
            </w:pPr>
          </w:p>
          <w:p w14:paraId="7DF27375" w14:textId="77777777" w:rsidR="00321580" w:rsidRDefault="00321580" w:rsidP="00742C55">
            <w:pPr>
              <w:rPr>
                <w:rFonts w:ascii="Arial" w:eastAsia="Arial" w:hAnsi="Arial" w:cs="Arial"/>
                <w:color w:val="000000" w:themeColor="text1"/>
                <w:sz w:val="20"/>
                <w:szCs w:val="20"/>
              </w:rPr>
            </w:pPr>
          </w:p>
          <w:p w14:paraId="2A683EE3" w14:textId="77777777" w:rsidR="00321580" w:rsidRDefault="00321580" w:rsidP="00742C55">
            <w:pPr>
              <w:rPr>
                <w:rFonts w:ascii="Arial" w:eastAsia="Arial" w:hAnsi="Arial" w:cs="Arial"/>
                <w:color w:val="000000" w:themeColor="text1"/>
                <w:sz w:val="20"/>
                <w:szCs w:val="20"/>
              </w:rPr>
            </w:pPr>
          </w:p>
          <w:p w14:paraId="6E6DB2A9" w14:textId="77777777" w:rsidR="00321580" w:rsidRDefault="00321580" w:rsidP="00742C55">
            <w:pPr>
              <w:rPr>
                <w:rFonts w:ascii="Arial" w:eastAsia="Arial" w:hAnsi="Arial" w:cs="Arial"/>
                <w:color w:val="000000" w:themeColor="text1"/>
                <w:sz w:val="20"/>
                <w:szCs w:val="20"/>
              </w:rPr>
            </w:pPr>
          </w:p>
          <w:p w14:paraId="234F11F9" w14:textId="77777777" w:rsidR="00321580" w:rsidRDefault="00321580" w:rsidP="00742C55">
            <w:pPr>
              <w:rPr>
                <w:rFonts w:ascii="Arial" w:eastAsia="Arial" w:hAnsi="Arial" w:cs="Arial"/>
                <w:color w:val="000000" w:themeColor="text1"/>
                <w:sz w:val="20"/>
                <w:szCs w:val="20"/>
              </w:rPr>
            </w:pPr>
          </w:p>
          <w:p w14:paraId="34CD4BB1" w14:textId="77777777" w:rsidR="00321580" w:rsidRDefault="00321580" w:rsidP="00742C55">
            <w:pPr>
              <w:rPr>
                <w:rFonts w:ascii="Arial" w:eastAsia="Arial" w:hAnsi="Arial" w:cs="Arial"/>
                <w:color w:val="000000" w:themeColor="text1"/>
                <w:sz w:val="20"/>
                <w:szCs w:val="20"/>
              </w:rPr>
            </w:pPr>
          </w:p>
          <w:p w14:paraId="48C9455C" w14:textId="77777777" w:rsidR="00321580" w:rsidRDefault="00321580" w:rsidP="00742C55">
            <w:pPr>
              <w:rPr>
                <w:rFonts w:ascii="Arial" w:eastAsia="Arial" w:hAnsi="Arial" w:cs="Arial"/>
                <w:color w:val="000000" w:themeColor="text1"/>
                <w:sz w:val="20"/>
                <w:szCs w:val="20"/>
              </w:rPr>
            </w:pPr>
          </w:p>
          <w:p w14:paraId="235E03F3" w14:textId="77777777" w:rsidR="00321580" w:rsidRDefault="00321580" w:rsidP="00742C55">
            <w:pPr>
              <w:rPr>
                <w:rFonts w:ascii="Arial" w:eastAsia="Arial" w:hAnsi="Arial" w:cs="Arial"/>
                <w:color w:val="000000" w:themeColor="text1"/>
                <w:sz w:val="20"/>
                <w:szCs w:val="20"/>
              </w:rPr>
            </w:pPr>
          </w:p>
          <w:p w14:paraId="144C2262" w14:textId="461A2B73" w:rsidR="00321580" w:rsidRPr="004D7377" w:rsidRDefault="00321580" w:rsidP="00742C55">
            <w:pPr>
              <w:rPr>
                <w:rFonts w:ascii="Arial" w:eastAsia="Arial" w:hAnsi="Arial" w:cs="Arial"/>
                <w:color w:val="000000" w:themeColor="text1"/>
                <w:sz w:val="20"/>
                <w:szCs w:val="20"/>
              </w:rPr>
            </w:pPr>
          </w:p>
        </w:tc>
        <w:tc>
          <w:tcPr>
            <w:tcW w:w="491" w:type="dxa"/>
          </w:tcPr>
          <w:p w14:paraId="47CFD0B5" w14:textId="77777777" w:rsidR="003D5D8B" w:rsidRDefault="003D5D8B" w:rsidP="7AFCA51C">
            <w:pPr>
              <w:rPr>
                <w:rFonts w:ascii="Arial" w:eastAsia="Arial" w:hAnsi="Arial" w:cs="Arial"/>
                <w:color w:val="000000" w:themeColor="text1"/>
                <w:sz w:val="20"/>
                <w:szCs w:val="20"/>
              </w:rPr>
            </w:pPr>
          </w:p>
        </w:tc>
      </w:tr>
      <w:tr w:rsidR="003D5D8B" w14:paraId="2FBEEBA6" w14:textId="77777777" w:rsidTr="50AE2620">
        <w:trPr>
          <w:trHeight w:val="975"/>
        </w:trPr>
        <w:tc>
          <w:tcPr>
            <w:tcW w:w="1135" w:type="dxa"/>
            <w:vMerge/>
          </w:tcPr>
          <w:p w14:paraId="1B5D67AB" w14:textId="77777777" w:rsidR="003D5D8B" w:rsidRDefault="003D5D8B" w:rsidP="7AFCA51C">
            <w:pPr>
              <w:rPr>
                <w:rFonts w:ascii="Arial" w:eastAsia="Arial" w:hAnsi="Arial" w:cs="Arial"/>
                <w:color w:val="000000" w:themeColor="text1"/>
                <w:sz w:val="20"/>
                <w:szCs w:val="20"/>
              </w:rPr>
            </w:pPr>
          </w:p>
        </w:tc>
        <w:tc>
          <w:tcPr>
            <w:tcW w:w="4643" w:type="dxa"/>
          </w:tcPr>
          <w:p w14:paraId="0583D90D" w14:textId="3DD7A2C2" w:rsidR="003D5D8B" w:rsidRDefault="003D5D8B" w:rsidP="7AFCA51C">
            <w:pPr>
              <w:rPr>
                <w:rFonts w:ascii="Arial" w:eastAsia="Arial" w:hAnsi="Arial" w:cs="Arial"/>
                <w:color w:val="000000" w:themeColor="text1"/>
                <w:sz w:val="20"/>
                <w:szCs w:val="20"/>
                <w:highlight w:val="cyan"/>
              </w:rPr>
            </w:pPr>
            <w:r w:rsidRPr="003D5D8B">
              <w:rPr>
                <w:rFonts w:ascii="Arial" w:eastAsia="Arial" w:hAnsi="Arial" w:cs="Arial"/>
                <w:color w:val="000000" w:themeColor="text1"/>
                <w:sz w:val="20"/>
                <w:szCs w:val="20"/>
                <w:highlight w:val="cyan"/>
              </w:rPr>
              <w:t xml:space="preserve">Amended Designated Safeguarding Lead and </w:t>
            </w:r>
            <w:proofErr w:type="gramStart"/>
            <w:r w:rsidRPr="003D5D8B">
              <w:rPr>
                <w:rFonts w:ascii="Arial" w:eastAsia="Arial" w:hAnsi="Arial" w:cs="Arial"/>
                <w:color w:val="000000" w:themeColor="text1"/>
                <w:sz w:val="20"/>
                <w:szCs w:val="20"/>
                <w:highlight w:val="cyan"/>
              </w:rPr>
              <w:t>deputies</w:t>
            </w:r>
            <w:proofErr w:type="gramEnd"/>
            <w:r w:rsidRPr="003D5D8B">
              <w:rPr>
                <w:rFonts w:ascii="Arial" w:eastAsia="Arial" w:hAnsi="Arial" w:cs="Arial"/>
                <w:color w:val="000000" w:themeColor="text1"/>
                <w:sz w:val="20"/>
                <w:szCs w:val="20"/>
                <w:highlight w:val="cyan"/>
              </w:rPr>
              <w:t xml:space="preserve"> </w:t>
            </w:r>
          </w:p>
          <w:p w14:paraId="2E2A8397" w14:textId="77777777" w:rsidR="003D5D8B" w:rsidRDefault="003D5D8B" w:rsidP="7AFCA51C">
            <w:pPr>
              <w:rPr>
                <w:rFonts w:ascii="Arial" w:eastAsia="Arial" w:hAnsi="Arial" w:cs="Arial"/>
                <w:color w:val="000000" w:themeColor="text1"/>
                <w:sz w:val="20"/>
                <w:szCs w:val="20"/>
                <w:highlight w:val="cyan"/>
              </w:rPr>
            </w:pPr>
          </w:p>
          <w:p w14:paraId="300716B7" w14:textId="77777777" w:rsidR="003D5D8B" w:rsidRDefault="003D5D8B" w:rsidP="7AFCA51C">
            <w:pPr>
              <w:rPr>
                <w:rFonts w:ascii="Arial" w:eastAsia="Arial" w:hAnsi="Arial" w:cs="Arial"/>
                <w:color w:val="000000" w:themeColor="text1"/>
                <w:sz w:val="20"/>
                <w:szCs w:val="20"/>
                <w:highlight w:val="cyan"/>
              </w:rPr>
            </w:pPr>
          </w:p>
          <w:p w14:paraId="58B70E43" w14:textId="77777777" w:rsidR="00383D99" w:rsidRPr="00B26F0B" w:rsidRDefault="00383D99" w:rsidP="00383D99">
            <w:pPr>
              <w:pStyle w:val="Default"/>
              <w:numPr>
                <w:ilvl w:val="0"/>
                <w:numId w:val="11"/>
              </w:numPr>
              <w:autoSpaceDE w:val="0"/>
              <w:autoSpaceDN w:val="0"/>
              <w:adjustRightInd w:val="0"/>
              <w:spacing w:line="276" w:lineRule="auto"/>
              <w:ind w:left="714" w:hanging="357"/>
              <w:rPr>
                <w:sz w:val="22"/>
                <w:szCs w:val="22"/>
              </w:rPr>
            </w:pPr>
            <w:r w:rsidRPr="00B26F0B">
              <w:rPr>
                <w:sz w:val="22"/>
                <w:szCs w:val="22"/>
              </w:rPr>
              <w:t xml:space="preserve">Will undergo formal training to provide them with the knowledge and skills </w:t>
            </w:r>
            <w:r>
              <w:rPr>
                <w:sz w:val="22"/>
                <w:szCs w:val="22"/>
              </w:rPr>
              <w:t>(</w:t>
            </w:r>
            <w:r w:rsidRPr="00B26F0B">
              <w:rPr>
                <w:sz w:val="22"/>
                <w:szCs w:val="22"/>
              </w:rPr>
              <w:t>including online safety</w:t>
            </w:r>
            <w:r w:rsidRPr="00094A7E">
              <w:rPr>
                <w:sz w:val="22"/>
                <w:szCs w:val="22"/>
              </w:rPr>
              <w:t>,</w:t>
            </w:r>
            <w:r>
              <w:rPr>
                <w:sz w:val="22"/>
                <w:szCs w:val="22"/>
              </w:rPr>
              <w:t xml:space="preserve"> </w:t>
            </w:r>
            <w:r w:rsidRPr="000064AB">
              <w:rPr>
                <w:sz w:val="22"/>
                <w:szCs w:val="22"/>
                <w:highlight w:val="cyan"/>
              </w:rPr>
              <w:t xml:space="preserve">which, amongst other things, includes an understanding of the expectations, applicable </w:t>
            </w:r>
            <w:proofErr w:type="gramStart"/>
            <w:r w:rsidRPr="000064AB">
              <w:rPr>
                <w:sz w:val="22"/>
                <w:szCs w:val="22"/>
                <w:highlight w:val="cyan"/>
              </w:rPr>
              <w:t>roles</w:t>
            </w:r>
            <w:proofErr w:type="gramEnd"/>
            <w:r w:rsidRPr="000064AB">
              <w:rPr>
                <w:sz w:val="22"/>
                <w:szCs w:val="22"/>
                <w:highlight w:val="cyan"/>
              </w:rPr>
              <w:t xml:space="preserve"> and responsibilities in relation to filtering and monitoring)</w:t>
            </w:r>
            <w:r w:rsidRPr="00B26F0B">
              <w:rPr>
                <w:sz w:val="22"/>
                <w:szCs w:val="22"/>
              </w:rPr>
              <w:t xml:space="preserve"> training required to carry out the role. The training will be updated </w:t>
            </w:r>
            <w:r w:rsidRPr="000064AB">
              <w:rPr>
                <w:sz w:val="22"/>
                <w:szCs w:val="22"/>
                <w:highlight w:val="cyan"/>
              </w:rPr>
              <w:t>at least</w:t>
            </w:r>
            <w:r>
              <w:rPr>
                <w:sz w:val="22"/>
                <w:szCs w:val="22"/>
              </w:rPr>
              <w:t xml:space="preserve"> </w:t>
            </w:r>
            <w:r w:rsidRPr="00B26F0B">
              <w:rPr>
                <w:sz w:val="22"/>
                <w:szCs w:val="22"/>
              </w:rPr>
              <w:t xml:space="preserve">every two years. </w:t>
            </w:r>
          </w:p>
          <w:p w14:paraId="1AFF42AC" w14:textId="77777777" w:rsidR="003D5D8B" w:rsidRDefault="003D5D8B" w:rsidP="7AFCA51C">
            <w:pPr>
              <w:rPr>
                <w:rFonts w:ascii="Arial" w:eastAsia="Arial" w:hAnsi="Arial" w:cs="Arial"/>
                <w:color w:val="000000" w:themeColor="text1"/>
                <w:sz w:val="20"/>
                <w:szCs w:val="20"/>
                <w:highlight w:val="cyan"/>
              </w:rPr>
            </w:pPr>
          </w:p>
          <w:p w14:paraId="4DAD924E" w14:textId="77777777" w:rsidR="003D5D8B" w:rsidRDefault="003D5D8B" w:rsidP="7AFCA51C">
            <w:pPr>
              <w:rPr>
                <w:rFonts w:ascii="Arial" w:eastAsia="Arial" w:hAnsi="Arial" w:cs="Arial"/>
                <w:color w:val="000000" w:themeColor="text1"/>
                <w:sz w:val="20"/>
                <w:szCs w:val="20"/>
                <w:highlight w:val="cyan"/>
              </w:rPr>
            </w:pPr>
          </w:p>
          <w:p w14:paraId="695ED5E6" w14:textId="77777777" w:rsidR="003D5D8B" w:rsidRPr="008C240C" w:rsidRDefault="003D5D8B" w:rsidP="00712ACC">
            <w:pPr>
              <w:rPr>
                <w:rFonts w:ascii="Arial" w:eastAsia="Arial" w:hAnsi="Arial" w:cs="Arial"/>
                <w:color w:val="000000" w:themeColor="text1"/>
                <w:sz w:val="20"/>
                <w:szCs w:val="20"/>
                <w:highlight w:val="magenta"/>
              </w:rPr>
            </w:pPr>
          </w:p>
        </w:tc>
        <w:tc>
          <w:tcPr>
            <w:tcW w:w="3177" w:type="dxa"/>
            <w:vMerge/>
          </w:tcPr>
          <w:p w14:paraId="7640BD08" w14:textId="54EE8D73" w:rsidR="003D5D8B" w:rsidRPr="004D7377" w:rsidRDefault="003D5D8B" w:rsidP="00742C55">
            <w:pPr>
              <w:rPr>
                <w:rFonts w:ascii="Arial" w:eastAsia="Arial" w:hAnsi="Arial" w:cs="Arial"/>
                <w:color w:val="000000" w:themeColor="text1"/>
                <w:sz w:val="20"/>
                <w:szCs w:val="20"/>
              </w:rPr>
            </w:pPr>
          </w:p>
        </w:tc>
        <w:tc>
          <w:tcPr>
            <w:tcW w:w="491" w:type="dxa"/>
          </w:tcPr>
          <w:p w14:paraId="2CA0CC00" w14:textId="77777777" w:rsidR="003D5D8B" w:rsidRDefault="003D5D8B" w:rsidP="7AFCA51C">
            <w:pPr>
              <w:rPr>
                <w:rFonts w:ascii="Arial" w:eastAsia="Arial" w:hAnsi="Arial" w:cs="Arial"/>
                <w:color w:val="000000" w:themeColor="text1"/>
                <w:sz w:val="20"/>
                <w:szCs w:val="20"/>
              </w:rPr>
            </w:pPr>
          </w:p>
        </w:tc>
      </w:tr>
      <w:tr w:rsidR="003D5D8B" w14:paraId="240C6601" w14:textId="77777777" w:rsidTr="50AE2620">
        <w:trPr>
          <w:trHeight w:val="975"/>
        </w:trPr>
        <w:tc>
          <w:tcPr>
            <w:tcW w:w="1135" w:type="dxa"/>
            <w:vMerge/>
          </w:tcPr>
          <w:p w14:paraId="067DE5C7" w14:textId="77777777" w:rsidR="003D5D8B" w:rsidRDefault="003D5D8B" w:rsidP="7AFCA51C">
            <w:pPr>
              <w:rPr>
                <w:rFonts w:ascii="Arial" w:eastAsia="Arial" w:hAnsi="Arial" w:cs="Arial"/>
                <w:color w:val="000000" w:themeColor="text1"/>
                <w:sz w:val="20"/>
                <w:szCs w:val="20"/>
              </w:rPr>
            </w:pPr>
          </w:p>
        </w:tc>
        <w:tc>
          <w:tcPr>
            <w:tcW w:w="4643" w:type="dxa"/>
          </w:tcPr>
          <w:p w14:paraId="344C777C" w14:textId="77777777" w:rsidR="003D5D8B" w:rsidRDefault="00321580" w:rsidP="00742C55">
            <w:pPr>
              <w:rPr>
                <w:rFonts w:ascii="Arial" w:eastAsia="Arial" w:hAnsi="Arial" w:cs="Arial"/>
                <w:color w:val="000000" w:themeColor="text1"/>
                <w:sz w:val="20"/>
                <w:szCs w:val="20"/>
                <w:highlight w:val="cyan"/>
              </w:rPr>
            </w:pPr>
            <w:r w:rsidRPr="00321580">
              <w:rPr>
                <w:rFonts w:ascii="Arial" w:eastAsia="Arial" w:hAnsi="Arial" w:cs="Arial"/>
                <w:color w:val="000000" w:themeColor="text1"/>
                <w:sz w:val="20"/>
                <w:szCs w:val="20"/>
                <w:highlight w:val="cyan"/>
              </w:rPr>
              <w:t xml:space="preserve">Amended Other training </w:t>
            </w:r>
            <w:proofErr w:type="gramStart"/>
            <w:r w:rsidRPr="00321580">
              <w:rPr>
                <w:rFonts w:ascii="Arial" w:eastAsia="Arial" w:hAnsi="Arial" w:cs="Arial"/>
                <w:color w:val="000000" w:themeColor="text1"/>
                <w:sz w:val="20"/>
                <w:szCs w:val="20"/>
                <w:highlight w:val="cyan"/>
              </w:rPr>
              <w:t>considerations</w:t>
            </w:r>
            <w:proofErr w:type="gramEnd"/>
          </w:p>
          <w:p w14:paraId="6A6B16CF" w14:textId="77777777" w:rsidR="00321580" w:rsidRDefault="00321580" w:rsidP="00742C55">
            <w:pPr>
              <w:rPr>
                <w:rFonts w:ascii="Arial" w:eastAsia="Arial" w:hAnsi="Arial" w:cs="Arial"/>
                <w:color w:val="000000" w:themeColor="text1"/>
                <w:sz w:val="20"/>
                <w:szCs w:val="20"/>
                <w:highlight w:val="cyan"/>
              </w:rPr>
            </w:pPr>
          </w:p>
          <w:p w14:paraId="790E1D7A" w14:textId="77777777" w:rsidR="00321580" w:rsidRPr="00B26F0B" w:rsidRDefault="00321580" w:rsidP="00321580">
            <w:pPr>
              <w:pStyle w:val="Default"/>
              <w:numPr>
                <w:ilvl w:val="0"/>
                <w:numId w:val="11"/>
              </w:numPr>
              <w:autoSpaceDE w:val="0"/>
              <w:autoSpaceDN w:val="0"/>
              <w:adjustRightInd w:val="0"/>
              <w:spacing w:line="276" w:lineRule="auto"/>
              <w:ind w:left="714" w:hanging="357"/>
              <w:rPr>
                <w:sz w:val="22"/>
                <w:szCs w:val="22"/>
              </w:rPr>
            </w:pPr>
            <w:r w:rsidRPr="00B26F0B">
              <w:rPr>
                <w:sz w:val="22"/>
                <w:szCs w:val="22"/>
              </w:rPr>
              <w:t>Training around safeguarding topics in Annex B (including online safety</w:t>
            </w:r>
            <w:r w:rsidRPr="00040CDC">
              <w:t xml:space="preserve"> </w:t>
            </w:r>
            <w:r w:rsidRPr="00321580">
              <w:rPr>
                <w:sz w:val="22"/>
                <w:szCs w:val="22"/>
                <w:highlight w:val="cyan"/>
              </w:rPr>
              <w:t xml:space="preserve">which, amongst other things, includes an understanding of the expectations, applicable </w:t>
            </w:r>
            <w:proofErr w:type="gramStart"/>
            <w:r w:rsidRPr="00321580">
              <w:rPr>
                <w:sz w:val="22"/>
                <w:szCs w:val="22"/>
                <w:highlight w:val="cyan"/>
              </w:rPr>
              <w:t>roles</w:t>
            </w:r>
            <w:proofErr w:type="gramEnd"/>
            <w:r w:rsidRPr="00321580">
              <w:rPr>
                <w:sz w:val="22"/>
                <w:szCs w:val="22"/>
                <w:highlight w:val="cyan"/>
              </w:rPr>
              <w:t xml:space="preserve"> and responsibilities in relation to filtering and monitoring)</w:t>
            </w:r>
            <w:r w:rsidRPr="00B26F0B">
              <w:rPr>
                <w:sz w:val="22"/>
                <w:szCs w:val="22"/>
              </w:rPr>
              <w:t xml:space="preserve"> will be integrated, aligned, and considered as part of a whole school safeguarding approach.</w:t>
            </w:r>
          </w:p>
          <w:p w14:paraId="26E4A53D" w14:textId="749099D9" w:rsidR="00321580" w:rsidRPr="00321580" w:rsidRDefault="00321580" w:rsidP="00742C55">
            <w:pPr>
              <w:rPr>
                <w:rFonts w:ascii="Arial" w:eastAsia="Arial" w:hAnsi="Arial" w:cs="Arial"/>
                <w:color w:val="000000" w:themeColor="text1"/>
                <w:sz w:val="20"/>
                <w:szCs w:val="20"/>
                <w:highlight w:val="cyan"/>
              </w:rPr>
            </w:pPr>
          </w:p>
        </w:tc>
        <w:tc>
          <w:tcPr>
            <w:tcW w:w="3177" w:type="dxa"/>
          </w:tcPr>
          <w:p w14:paraId="235533FD" w14:textId="77777777" w:rsidR="003D5D8B" w:rsidRDefault="003D5D8B" w:rsidP="00742C55">
            <w:pPr>
              <w:rPr>
                <w:rFonts w:ascii="Arial" w:eastAsia="Arial" w:hAnsi="Arial" w:cs="Arial"/>
                <w:color w:val="000000" w:themeColor="text1"/>
                <w:sz w:val="20"/>
                <w:szCs w:val="20"/>
              </w:rPr>
            </w:pPr>
          </w:p>
          <w:p w14:paraId="323EB14B" w14:textId="77777777" w:rsidR="00321580" w:rsidRDefault="00321580" w:rsidP="00742C55">
            <w:pPr>
              <w:rPr>
                <w:rFonts w:ascii="Arial" w:eastAsia="Arial" w:hAnsi="Arial" w:cs="Arial"/>
                <w:color w:val="000000" w:themeColor="text1"/>
                <w:sz w:val="20"/>
                <w:szCs w:val="20"/>
              </w:rPr>
            </w:pPr>
          </w:p>
          <w:p w14:paraId="4DA559C1" w14:textId="77777777" w:rsidR="00321580" w:rsidRDefault="00321580" w:rsidP="00742C55">
            <w:pPr>
              <w:rPr>
                <w:rFonts w:ascii="Arial" w:eastAsia="Arial" w:hAnsi="Arial" w:cs="Arial"/>
                <w:color w:val="000000" w:themeColor="text1"/>
                <w:sz w:val="20"/>
                <w:szCs w:val="20"/>
              </w:rPr>
            </w:pPr>
          </w:p>
          <w:p w14:paraId="5B71260A" w14:textId="77777777" w:rsidR="00321580" w:rsidRDefault="00321580" w:rsidP="0032158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2CA3D381" w14:textId="2A244CDC" w:rsidR="00321580" w:rsidRPr="004D7377" w:rsidRDefault="00321580" w:rsidP="00742C55">
            <w:pPr>
              <w:rPr>
                <w:rFonts w:ascii="Arial" w:eastAsia="Arial" w:hAnsi="Arial" w:cs="Arial"/>
                <w:color w:val="000000" w:themeColor="text1"/>
                <w:sz w:val="20"/>
                <w:szCs w:val="20"/>
              </w:rPr>
            </w:pPr>
          </w:p>
        </w:tc>
        <w:tc>
          <w:tcPr>
            <w:tcW w:w="491" w:type="dxa"/>
          </w:tcPr>
          <w:p w14:paraId="23F5B423" w14:textId="77777777" w:rsidR="003D5D8B" w:rsidRDefault="003D5D8B" w:rsidP="7AFCA51C">
            <w:pPr>
              <w:rPr>
                <w:rFonts w:ascii="Arial" w:eastAsia="Arial" w:hAnsi="Arial" w:cs="Arial"/>
                <w:color w:val="000000" w:themeColor="text1"/>
                <w:sz w:val="20"/>
                <w:szCs w:val="20"/>
              </w:rPr>
            </w:pPr>
          </w:p>
        </w:tc>
      </w:tr>
      <w:tr w:rsidR="004D3A6D" w14:paraId="3D56ABC9" w14:textId="77777777" w:rsidTr="50AE2620">
        <w:trPr>
          <w:trHeight w:val="644"/>
        </w:trPr>
        <w:tc>
          <w:tcPr>
            <w:tcW w:w="1135" w:type="dxa"/>
            <w:vMerge w:val="restart"/>
          </w:tcPr>
          <w:p w14:paraId="46D74893" w14:textId="7EF9273C" w:rsidR="004D3A6D" w:rsidRDefault="004D3A6D"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1.8</w:t>
            </w:r>
          </w:p>
        </w:tc>
        <w:tc>
          <w:tcPr>
            <w:tcW w:w="4643" w:type="dxa"/>
          </w:tcPr>
          <w:p w14:paraId="552D0D8A" w14:textId="77777777" w:rsidR="004D3A6D" w:rsidRDefault="0086051B" w:rsidP="00742C55">
            <w:pPr>
              <w:rPr>
                <w:rFonts w:ascii="Arial" w:eastAsia="Arial" w:hAnsi="Arial" w:cs="Arial"/>
                <w:color w:val="000000" w:themeColor="text1"/>
                <w:sz w:val="20"/>
                <w:szCs w:val="20"/>
                <w:highlight w:val="green"/>
              </w:rPr>
            </w:pPr>
            <w:r w:rsidRPr="0086051B">
              <w:rPr>
                <w:rFonts w:ascii="Arial" w:eastAsia="Arial" w:hAnsi="Arial" w:cs="Arial"/>
                <w:color w:val="000000" w:themeColor="text1"/>
                <w:sz w:val="20"/>
                <w:szCs w:val="20"/>
                <w:highlight w:val="green"/>
              </w:rPr>
              <w:t>Added</w:t>
            </w:r>
            <w:r>
              <w:rPr>
                <w:rFonts w:ascii="Arial" w:eastAsia="Arial" w:hAnsi="Arial" w:cs="Arial"/>
                <w:color w:val="000000" w:themeColor="text1"/>
                <w:sz w:val="20"/>
                <w:szCs w:val="20"/>
                <w:highlight w:val="green"/>
              </w:rPr>
              <w:t xml:space="preserve"> in safer </w:t>
            </w:r>
            <w:proofErr w:type="gramStart"/>
            <w:r>
              <w:rPr>
                <w:rFonts w:ascii="Arial" w:eastAsia="Arial" w:hAnsi="Arial" w:cs="Arial"/>
                <w:color w:val="000000" w:themeColor="text1"/>
                <w:sz w:val="20"/>
                <w:szCs w:val="20"/>
                <w:highlight w:val="green"/>
              </w:rPr>
              <w:t>recruitment</w:t>
            </w:r>
            <w:proofErr w:type="gramEnd"/>
            <w:r>
              <w:rPr>
                <w:rFonts w:ascii="Arial" w:eastAsia="Arial" w:hAnsi="Arial" w:cs="Arial"/>
                <w:color w:val="000000" w:themeColor="text1"/>
                <w:sz w:val="20"/>
                <w:szCs w:val="20"/>
                <w:highlight w:val="green"/>
              </w:rPr>
              <w:t xml:space="preserve"> </w:t>
            </w:r>
          </w:p>
          <w:p w14:paraId="4798D429" w14:textId="77777777" w:rsidR="00AB5C34" w:rsidRDefault="00AB5C34" w:rsidP="00742C55">
            <w:pPr>
              <w:rPr>
                <w:rFonts w:ascii="Arial" w:eastAsia="Arial" w:hAnsi="Arial" w:cs="Arial"/>
                <w:color w:val="000000" w:themeColor="text1"/>
                <w:sz w:val="20"/>
                <w:szCs w:val="20"/>
                <w:highlight w:val="green"/>
              </w:rPr>
            </w:pPr>
          </w:p>
          <w:p w14:paraId="4C0809EA" w14:textId="65194813" w:rsidR="00AB5C34" w:rsidRPr="00FC13F4" w:rsidRDefault="00AB5C34" w:rsidP="00FC13F4">
            <w:pPr>
              <w:ind w:left="360"/>
              <w:rPr>
                <w:rFonts w:ascii="Arial" w:eastAsia="Arial" w:hAnsi="Arial" w:cs="Arial"/>
                <w:color w:val="000000" w:themeColor="text1"/>
                <w:sz w:val="20"/>
                <w:szCs w:val="20"/>
                <w:highlight w:val="magenta"/>
              </w:rPr>
            </w:pPr>
            <w:r w:rsidRPr="00FC13F4">
              <w:rPr>
                <w:rFonts w:ascii="Arial" w:hAnsi="Arial" w:cs="Arial"/>
                <w:highlight w:val="green"/>
              </w:rPr>
              <w:t>Also including undertaking online safety checks on shortlisted candidates.</w:t>
            </w:r>
          </w:p>
        </w:tc>
        <w:tc>
          <w:tcPr>
            <w:tcW w:w="3177" w:type="dxa"/>
          </w:tcPr>
          <w:p w14:paraId="05BFE698" w14:textId="77777777" w:rsidR="004D3A6D" w:rsidRDefault="004D3A6D" w:rsidP="7AFCA51C">
            <w:pPr>
              <w:rPr>
                <w:rFonts w:ascii="Arial" w:eastAsia="Arial" w:hAnsi="Arial" w:cs="Arial"/>
                <w:color w:val="000000" w:themeColor="text1"/>
                <w:sz w:val="20"/>
                <w:szCs w:val="20"/>
              </w:rPr>
            </w:pPr>
          </w:p>
          <w:p w14:paraId="319679D3" w14:textId="77777777" w:rsidR="00FC13F4" w:rsidRDefault="00FC13F4" w:rsidP="00FC13F4">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6B714007" w14:textId="29FFD967" w:rsidR="004D3A6D" w:rsidRPr="004D7377" w:rsidRDefault="004D3A6D" w:rsidP="00742C55">
            <w:pPr>
              <w:rPr>
                <w:rFonts w:ascii="Arial" w:eastAsia="Arial" w:hAnsi="Arial" w:cs="Arial"/>
                <w:color w:val="000000" w:themeColor="text1"/>
                <w:sz w:val="20"/>
                <w:szCs w:val="20"/>
              </w:rPr>
            </w:pPr>
          </w:p>
        </w:tc>
        <w:tc>
          <w:tcPr>
            <w:tcW w:w="491" w:type="dxa"/>
          </w:tcPr>
          <w:p w14:paraId="72B24D91" w14:textId="77777777" w:rsidR="004D3A6D" w:rsidRDefault="004D3A6D" w:rsidP="7AFCA51C">
            <w:pPr>
              <w:rPr>
                <w:rFonts w:ascii="Arial" w:eastAsia="Arial" w:hAnsi="Arial" w:cs="Arial"/>
                <w:color w:val="000000" w:themeColor="text1"/>
                <w:sz w:val="20"/>
                <w:szCs w:val="20"/>
              </w:rPr>
            </w:pPr>
          </w:p>
        </w:tc>
      </w:tr>
      <w:tr w:rsidR="004D3A6D" w14:paraId="5AE09E12" w14:textId="77777777" w:rsidTr="50AE2620">
        <w:trPr>
          <w:trHeight w:val="357"/>
        </w:trPr>
        <w:tc>
          <w:tcPr>
            <w:tcW w:w="1135" w:type="dxa"/>
            <w:vMerge/>
          </w:tcPr>
          <w:p w14:paraId="31706ABA" w14:textId="6B2624CC" w:rsidR="004D3A6D" w:rsidRDefault="004D3A6D" w:rsidP="7AFCA51C">
            <w:pPr>
              <w:rPr>
                <w:rFonts w:ascii="Arial" w:eastAsia="Arial" w:hAnsi="Arial" w:cs="Arial"/>
                <w:color w:val="000000" w:themeColor="text1"/>
                <w:sz w:val="20"/>
                <w:szCs w:val="20"/>
              </w:rPr>
            </w:pPr>
          </w:p>
        </w:tc>
        <w:tc>
          <w:tcPr>
            <w:tcW w:w="4643" w:type="dxa"/>
          </w:tcPr>
          <w:p w14:paraId="40BB3BEF" w14:textId="60E69BD5" w:rsidR="004D3A6D" w:rsidRPr="00382C95" w:rsidRDefault="004D3A6D" w:rsidP="7AFCA51C">
            <w:pPr>
              <w:rPr>
                <w:rFonts w:ascii="Arial" w:eastAsia="Arial" w:hAnsi="Arial" w:cs="Arial"/>
                <w:color w:val="000000" w:themeColor="text1"/>
                <w:sz w:val="20"/>
                <w:szCs w:val="20"/>
                <w:highlight w:val="green"/>
              </w:rPr>
            </w:pPr>
          </w:p>
        </w:tc>
        <w:tc>
          <w:tcPr>
            <w:tcW w:w="3177" w:type="dxa"/>
          </w:tcPr>
          <w:p w14:paraId="2DFE1B0E" w14:textId="77777777" w:rsidR="004D3A6D" w:rsidRDefault="004D3A6D" w:rsidP="7AFCA51C">
            <w:pPr>
              <w:rPr>
                <w:rFonts w:ascii="Arial" w:eastAsia="Arial" w:hAnsi="Arial" w:cs="Arial"/>
                <w:color w:val="000000" w:themeColor="text1"/>
                <w:sz w:val="20"/>
                <w:szCs w:val="20"/>
              </w:rPr>
            </w:pPr>
          </w:p>
          <w:p w14:paraId="69F71BE9" w14:textId="0860A6A8" w:rsidR="004D3A6D" w:rsidRDefault="004D3A6D" w:rsidP="7AFCA51C">
            <w:pPr>
              <w:rPr>
                <w:rFonts w:ascii="Arial" w:eastAsia="Arial" w:hAnsi="Arial" w:cs="Arial"/>
                <w:color w:val="000000" w:themeColor="text1"/>
                <w:sz w:val="20"/>
                <w:szCs w:val="20"/>
              </w:rPr>
            </w:pPr>
            <w:r>
              <w:rPr>
                <w:rFonts w:cstheme="minorHAnsi"/>
                <w:sz w:val="20"/>
                <w:szCs w:val="20"/>
              </w:rPr>
              <w:t xml:space="preserve"> </w:t>
            </w:r>
          </w:p>
        </w:tc>
        <w:tc>
          <w:tcPr>
            <w:tcW w:w="491" w:type="dxa"/>
          </w:tcPr>
          <w:p w14:paraId="47F69C8D" w14:textId="77777777" w:rsidR="004D3A6D" w:rsidRDefault="004D3A6D" w:rsidP="7AFCA51C">
            <w:pPr>
              <w:rPr>
                <w:rFonts w:ascii="Arial" w:eastAsia="Arial" w:hAnsi="Arial" w:cs="Arial"/>
                <w:color w:val="000000" w:themeColor="text1"/>
                <w:sz w:val="20"/>
                <w:szCs w:val="20"/>
              </w:rPr>
            </w:pPr>
          </w:p>
        </w:tc>
      </w:tr>
      <w:tr w:rsidR="004D3A6D" w14:paraId="64DC4A38" w14:textId="77777777" w:rsidTr="50AE2620">
        <w:trPr>
          <w:trHeight w:val="564"/>
        </w:trPr>
        <w:tc>
          <w:tcPr>
            <w:tcW w:w="1135" w:type="dxa"/>
            <w:vMerge/>
          </w:tcPr>
          <w:p w14:paraId="341D5242" w14:textId="77777777" w:rsidR="004D3A6D" w:rsidRDefault="004D3A6D" w:rsidP="7AFCA51C">
            <w:pPr>
              <w:rPr>
                <w:rFonts w:ascii="Arial" w:eastAsia="Arial" w:hAnsi="Arial" w:cs="Arial"/>
                <w:color w:val="000000" w:themeColor="text1"/>
                <w:sz w:val="20"/>
                <w:szCs w:val="20"/>
              </w:rPr>
            </w:pPr>
          </w:p>
        </w:tc>
        <w:tc>
          <w:tcPr>
            <w:tcW w:w="4643" w:type="dxa"/>
          </w:tcPr>
          <w:p w14:paraId="63E975E8" w14:textId="01D4633F" w:rsidR="004D3A6D" w:rsidRPr="00A96105" w:rsidRDefault="004D3A6D" w:rsidP="00A96105">
            <w:pPr>
              <w:rPr>
                <w:rFonts w:ascii="Arial" w:eastAsia="Arial" w:hAnsi="Arial" w:cs="Arial"/>
                <w:sz w:val="20"/>
                <w:szCs w:val="20"/>
                <w:highlight w:val="green"/>
              </w:rPr>
            </w:pPr>
          </w:p>
        </w:tc>
        <w:tc>
          <w:tcPr>
            <w:tcW w:w="3177" w:type="dxa"/>
          </w:tcPr>
          <w:p w14:paraId="0E5D2D83" w14:textId="257EAF7C" w:rsidR="004D3A6D" w:rsidRDefault="004D3A6D" w:rsidP="7AFCA51C">
            <w:pPr>
              <w:rPr>
                <w:rFonts w:ascii="Arial" w:eastAsia="Arial" w:hAnsi="Arial" w:cs="Arial"/>
                <w:color w:val="000000" w:themeColor="text1"/>
                <w:sz w:val="20"/>
                <w:szCs w:val="20"/>
              </w:rPr>
            </w:pPr>
          </w:p>
        </w:tc>
        <w:tc>
          <w:tcPr>
            <w:tcW w:w="491" w:type="dxa"/>
          </w:tcPr>
          <w:p w14:paraId="27A7A11B" w14:textId="77777777" w:rsidR="004D3A6D" w:rsidRDefault="004D3A6D" w:rsidP="7AFCA51C">
            <w:pPr>
              <w:rPr>
                <w:rFonts w:ascii="Arial" w:eastAsia="Arial" w:hAnsi="Arial" w:cs="Arial"/>
                <w:color w:val="000000" w:themeColor="text1"/>
                <w:sz w:val="20"/>
                <w:szCs w:val="20"/>
              </w:rPr>
            </w:pPr>
          </w:p>
        </w:tc>
      </w:tr>
      <w:tr w:rsidR="004D3A6D" w14:paraId="474F2B9C" w14:textId="77777777" w:rsidTr="50AE2620">
        <w:trPr>
          <w:trHeight w:val="983"/>
        </w:trPr>
        <w:tc>
          <w:tcPr>
            <w:tcW w:w="1135" w:type="dxa"/>
          </w:tcPr>
          <w:p w14:paraId="7778608E" w14:textId="4126E253" w:rsidR="004D3A6D" w:rsidRDefault="00E54C58"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2.7</w:t>
            </w:r>
          </w:p>
        </w:tc>
        <w:tc>
          <w:tcPr>
            <w:tcW w:w="4643" w:type="dxa"/>
          </w:tcPr>
          <w:p w14:paraId="535021C6" w14:textId="77777777" w:rsidR="004D3A6D" w:rsidRDefault="00E54C58" w:rsidP="7AFCA51C">
            <w:pPr>
              <w:rPr>
                <w:rFonts w:ascii="Arial" w:eastAsia="Arial" w:hAnsi="Arial" w:cs="Arial"/>
                <w:color w:val="000000" w:themeColor="text1"/>
                <w:sz w:val="20"/>
                <w:szCs w:val="20"/>
              </w:rPr>
            </w:pPr>
            <w:r w:rsidRPr="00DB273A">
              <w:rPr>
                <w:rFonts w:ascii="Arial" w:eastAsia="Arial" w:hAnsi="Arial" w:cs="Arial"/>
                <w:color w:val="000000" w:themeColor="text1"/>
                <w:sz w:val="20"/>
                <w:szCs w:val="20"/>
                <w:highlight w:val="cyan"/>
              </w:rPr>
              <w:t xml:space="preserve">Amended Actions taken in relation to sexual violence and sexual </w:t>
            </w:r>
            <w:proofErr w:type="gramStart"/>
            <w:r w:rsidRPr="00DB273A">
              <w:rPr>
                <w:rFonts w:ascii="Arial" w:eastAsia="Arial" w:hAnsi="Arial" w:cs="Arial"/>
                <w:color w:val="000000" w:themeColor="text1"/>
                <w:sz w:val="20"/>
                <w:szCs w:val="20"/>
                <w:highlight w:val="cyan"/>
              </w:rPr>
              <w:t>har</w:t>
            </w:r>
            <w:r w:rsidR="00DB273A" w:rsidRPr="00DB273A">
              <w:rPr>
                <w:rFonts w:ascii="Arial" w:eastAsia="Arial" w:hAnsi="Arial" w:cs="Arial"/>
                <w:color w:val="000000" w:themeColor="text1"/>
                <w:sz w:val="20"/>
                <w:szCs w:val="20"/>
                <w:highlight w:val="cyan"/>
              </w:rPr>
              <w:t>assment</w:t>
            </w:r>
            <w:proofErr w:type="gramEnd"/>
            <w:r w:rsidR="00DB273A">
              <w:rPr>
                <w:rFonts w:ascii="Arial" w:eastAsia="Arial" w:hAnsi="Arial" w:cs="Arial"/>
                <w:color w:val="000000" w:themeColor="text1"/>
                <w:sz w:val="20"/>
                <w:szCs w:val="20"/>
              </w:rPr>
              <w:t xml:space="preserve"> </w:t>
            </w:r>
          </w:p>
          <w:p w14:paraId="791AA2D3" w14:textId="77777777" w:rsidR="00DB273A" w:rsidRDefault="00DB273A" w:rsidP="7AFCA51C">
            <w:pPr>
              <w:rPr>
                <w:rFonts w:ascii="Arial" w:eastAsia="Arial" w:hAnsi="Arial" w:cs="Arial"/>
                <w:color w:val="000000" w:themeColor="text1"/>
                <w:sz w:val="20"/>
                <w:szCs w:val="20"/>
              </w:rPr>
            </w:pPr>
          </w:p>
          <w:p w14:paraId="1C066DD9" w14:textId="77777777" w:rsidR="00DB273A" w:rsidRDefault="00DB273A" w:rsidP="00DB273A">
            <w:pPr>
              <w:pStyle w:val="ListParagraph"/>
              <w:numPr>
                <w:ilvl w:val="0"/>
                <w:numId w:val="11"/>
              </w:numPr>
              <w:spacing w:after="200" w:line="276" w:lineRule="auto"/>
              <w:rPr>
                <w:rFonts w:ascii="Arial" w:hAnsi="Arial" w:cs="Arial"/>
                <w:sz w:val="24"/>
                <w:szCs w:val="24"/>
              </w:rPr>
            </w:pPr>
            <w:r w:rsidRPr="10E2ECC1">
              <w:rPr>
                <w:rFonts w:ascii="Arial" w:hAnsi="Arial" w:cs="Arial"/>
              </w:rPr>
              <w:t xml:space="preserve">Risk assessments and or safety plans will be developed for individual children who have been involved in an </w:t>
            </w:r>
            <w:r w:rsidRPr="08AB0F30">
              <w:rPr>
                <w:rFonts w:ascii="Arial" w:hAnsi="Arial" w:cs="Arial"/>
              </w:rPr>
              <w:t>incident</w:t>
            </w:r>
            <w:r>
              <w:rPr>
                <w:rFonts w:ascii="Arial" w:hAnsi="Arial" w:cs="Arial"/>
              </w:rPr>
              <w:t xml:space="preserve"> </w:t>
            </w:r>
            <w:r w:rsidRPr="00CB2DD3">
              <w:rPr>
                <w:rFonts w:ascii="Arial" w:hAnsi="Arial" w:cs="Arial"/>
                <w:highlight w:val="cyan"/>
              </w:rPr>
              <w:t>including any bystanders</w:t>
            </w:r>
            <w:r w:rsidRPr="08AB0F30">
              <w:rPr>
                <w:rFonts w:ascii="Arial" w:hAnsi="Arial" w:cs="Arial"/>
              </w:rPr>
              <w:t>.</w:t>
            </w:r>
            <w:r w:rsidRPr="10E2ECC1">
              <w:rPr>
                <w:rFonts w:ascii="Arial" w:hAnsi="Arial" w:cs="Arial"/>
              </w:rPr>
              <w:t xml:space="preserve"> This should be reviewed </w:t>
            </w:r>
            <w:r>
              <w:rPr>
                <w:rFonts w:ascii="Arial" w:hAnsi="Arial" w:cs="Arial"/>
              </w:rPr>
              <w:t xml:space="preserve">at least </w:t>
            </w:r>
            <w:r w:rsidRPr="10E2ECC1">
              <w:rPr>
                <w:rFonts w:ascii="Arial" w:hAnsi="Arial" w:cs="Arial"/>
              </w:rPr>
              <w:t xml:space="preserve">every 3 months or every time there is an occurrence of an incident. These should involve the child and </w:t>
            </w:r>
            <w:r w:rsidRPr="10E2ECC1">
              <w:rPr>
                <w:rFonts w:ascii="Arial" w:hAnsi="Arial" w:cs="Arial"/>
              </w:rPr>
              <w:lastRenderedPageBreak/>
              <w:t>parents/carers</w:t>
            </w:r>
            <w:r w:rsidRPr="10E2ECC1">
              <w:rPr>
                <w:rFonts w:ascii="Arial" w:hAnsi="Arial" w:cs="Arial"/>
                <w:sz w:val="24"/>
                <w:szCs w:val="24"/>
              </w:rPr>
              <w:t xml:space="preserve"> </w:t>
            </w:r>
            <w:r w:rsidRPr="10E2ECC1">
              <w:rPr>
                <w:rFonts w:ascii="Arial" w:hAnsi="Arial" w:cs="Arial"/>
              </w:rPr>
              <w:t xml:space="preserve">and address contextual risks. </w:t>
            </w:r>
          </w:p>
          <w:p w14:paraId="7F6FDDAF" w14:textId="442C7894" w:rsidR="00DB273A" w:rsidRPr="00DB273A" w:rsidRDefault="00DB273A" w:rsidP="00DB273A">
            <w:pPr>
              <w:pStyle w:val="ListParagraph"/>
              <w:rPr>
                <w:rFonts w:ascii="Arial" w:eastAsia="Arial" w:hAnsi="Arial" w:cs="Arial"/>
                <w:color w:val="000000" w:themeColor="text1"/>
                <w:sz w:val="20"/>
                <w:szCs w:val="20"/>
              </w:rPr>
            </w:pPr>
          </w:p>
        </w:tc>
        <w:tc>
          <w:tcPr>
            <w:tcW w:w="3177" w:type="dxa"/>
          </w:tcPr>
          <w:p w14:paraId="7EA73806" w14:textId="77777777" w:rsidR="004D3A6D" w:rsidRDefault="004D3A6D" w:rsidP="7AFCA51C">
            <w:pPr>
              <w:rPr>
                <w:rFonts w:ascii="Arial" w:eastAsia="Arial" w:hAnsi="Arial" w:cs="Arial"/>
                <w:color w:val="000000" w:themeColor="text1"/>
                <w:sz w:val="20"/>
                <w:szCs w:val="20"/>
              </w:rPr>
            </w:pPr>
          </w:p>
          <w:p w14:paraId="24730EEF" w14:textId="0A5CE615" w:rsidR="004D3A6D" w:rsidRDefault="00CB2DD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w:t>
            </w:r>
            <w:r w:rsidR="00895DC6">
              <w:rPr>
                <w:rFonts w:ascii="Arial" w:eastAsia="Arial" w:hAnsi="Arial" w:cs="Arial"/>
                <w:color w:val="000000" w:themeColor="text1"/>
                <w:sz w:val="20"/>
                <w:szCs w:val="20"/>
              </w:rPr>
              <w:t xml:space="preserve">aid inclusion </w:t>
            </w:r>
          </w:p>
        </w:tc>
        <w:tc>
          <w:tcPr>
            <w:tcW w:w="491" w:type="dxa"/>
          </w:tcPr>
          <w:p w14:paraId="632DE2D2" w14:textId="3354DD6B" w:rsidR="004D3A6D" w:rsidRDefault="004D3A6D" w:rsidP="7AFCA51C">
            <w:pPr>
              <w:rPr>
                <w:rFonts w:ascii="Arial" w:eastAsia="Arial" w:hAnsi="Arial" w:cs="Arial"/>
                <w:color w:val="000000" w:themeColor="text1"/>
                <w:sz w:val="20"/>
                <w:szCs w:val="20"/>
              </w:rPr>
            </w:pPr>
          </w:p>
        </w:tc>
      </w:tr>
      <w:tr w:rsidR="004D3A6D" w14:paraId="485BB667" w14:textId="77777777" w:rsidTr="50AE2620">
        <w:trPr>
          <w:trHeight w:val="1026"/>
        </w:trPr>
        <w:tc>
          <w:tcPr>
            <w:tcW w:w="1135" w:type="dxa"/>
          </w:tcPr>
          <w:p w14:paraId="4EF80264" w14:textId="3AE146BB" w:rsidR="004D3A6D" w:rsidRDefault="00377E93" w:rsidP="7AFCA51C">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2.10 </w:t>
            </w:r>
          </w:p>
        </w:tc>
        <w:tc>
          <w:tcPr>
            <w:tcW w:w="4643" w:type="dxa"/>
          </w:tcPr>
          <w:p w14:paraId="75E49589" w14:textId="77777777" w:rsidR="004D3A6D" w:rsidRDefault="00377E93" w:rsidP="7AFCA51C">
            <w:pPr>
              <w:pStyle w:val="Default"/>
              <w:spacing w:line="276" w:lineRule="auto"/>
              <w:rPr>
                <w:rFonts w:eastAsia="Arial"/>
                <w:sz w:val="20"/>
                <w:szCs w:val="20"/>
              </w:rPr>
            </w:pPr>
            <w:r w:rsidRPr="00377E93">
              <w:rPr>
                <w:rFonts w:eastAsia="Arial"/>
                <w:sz w:val="20"/>
                <w:szCs w:val="20"/>
                <w:highlight w:val="green"/>
              </w:rPr>
              <w:t xml:space="preserve">Added to Online </w:t>
            </w:r>
            <w:r>
              <w:rPr>
                <w:rFonts w:eastAsia="Arial"/>
                <w:sz w:val="20"/>
                <w:szCs w:val="20"/>
                <w:highlight w:val="green"/>
              </w:rPr>
              <w:t>S</w:t>
            </w:r>
            <w:r w:rsidRPr="00377E93">
              <w:rPr>
                <w:rFonts w:eastAsia="Arial"/>
                <w:sz w:val="20"/>
                <w:szCs w:val="20"/>
                <w:highlight w:val="green"/>
              </w:rPr>
              <w:t>afety</w:t>
            </w:r>
            <w:r>
              <w:rPr>
                <w:rFonts w:eastAsia="Arial"/>
                <w:sz w:val="20"/>
                <w:szCs w:val="20"/>
              </w:rPr>
              <w:t xml:space="preserve"> </w:t>
            </w:r>
          </w:p>
          <w:p w14:paraId="6AB10610" w14:textId="77777777" w:rsidR="00377E93" w:rsidRDefault="00377E93" w:rsidP="7AFCA51C">
            <w:pPr>
              <w:pStyle w:val="Default"/>
              <w:spacing w:line="276" w:lineRule="auto"/>
              <w:rPr>
                <w:rFonts w:eastAsia="Arial"/>
                <w:sz w:val="20"/>
                <w:szCs w:val="20"/>
              </w:rPr>
            </w:pPr>
          </w:p>
          <w:p w14:paraId="02D429EE" w14:textId="77777777" w:rsidR="00377E93" w:rsidRPr="004D31AD" w:rsidRDefault="00377E93" w:rsidP="00377E93">
            <w:pPr>
              <w:pStyle w:val="ListParagraph"/>
              <w:numPr>
                <w:ilvl w:val="0"/>
                <w:numId w:val="15"/>
              </w:numPr>
              <w:spacing w:after="200" w:line="276" w:lineRule="auto"/>
              <w:rPr>
                <w:rFonts w:ascii="Arial" w:hAnsi="Arial" w:cs="Arial"/>
              </w:rPr>
            </w:pPr>
            <w:r w:rsidRPr="59E199DD">
              <w:rPr>
                <w:rFonts w:ascii="Arial" w:hAnsi="Arial" w:cs="Arial"/>
              </w:rPr>
              <w:t xml:space="preserve">Provision of education via remote learning will comply with </w:t>
            </w:r>
            <w:r>
              <w:rPr>
                <w:rFonts w:ascii="Arial" w:hAnsi="Arial" w:cs="Arial"/>
              </w:rPr>
              <w:t xml:space="preserve">current </w:t>
            </w:r>
            <w:r w:rsidRPr="59E199DD">
              <w:rPr>
                <w:rFonts w:ascii="Arial" w:hAnsi="Arial" w:cs="Arial"/>
              </w:rPr>
              <w:t xml:space="preserve">governmental advice </w:t>
            </w:r>
            <w:hyperlink r:id="rId11">
              <w:r w:rsidRPr="00103A4E">
                <w:rPr>
                  <w:rFonts w:ascii="Arial" w:hAnsi="Arial" w:cs="Arial"/>
                  <w:color w:val="0000FF"/>
                  <w:u w:val="single"/>
                </w:rPr>
                <w:t>Safeguarding and remote edu</w:t>
              </w:r>
              <w:r w:rsidRPr="00103A4E">
                <w:rPr>
                  <w:rFonts w:ascii="Arial" w:hAnsi="Arial" w:cs="Arial"/>
                  <w:color w:val="0000FF"/>
                  <w:u w:val="single"/>
                </w:rPr>
                <w:t>c</w:t>
              </w:r>
              <w:r w:rsidRPr="00103A4E">
                <w:rPr>
                  <w:rFonts w:ascii="Arial" w:hAnsi="Arial" w:cs="Arial"/>
                  <w:color w:val="0000FF"/>
                  <w:u w:val="single"/>
                </w:rPr>
                <w:t>ation during coronavirus (COVID-19) - GOV.UK (www.gov.uk)</w:t>
              </w:r>
            </w:hyperlink>
            <w:r w:rsidRPr="00103A4E">
              <w:rPr>
                <w:rFonts w:ascii="Arial" w:hAnsi="Arial" w:cs="Arial"/>
                <w:color w:val="0000FF"/>
                <w:u w:val="single"/>
              </w:rPr>
              <w:t xml:space="preserve"> and </w:t>
            </w:r>
            <w:hyperlink r:id="rId12" w:history="1">
              <w:r w:rsidRPr="00377E93">
                <w:rPr>
                  <w:rStyle w:val="Hyperlink"/>
                  <w:rFonts w:ascii="Arial" w:hAnsi="Arial" w:cs="Arial"/>
                  <w:highlight w:val="green"/>
                </w:rPr>
                <w:t>Providing remote education: guidance for schools - GOV.UK (www.gov.uk).</w:t>
              </w:r>
            </w:hyperlink>
            <w:r>
              <w:t xml:space="preserve"> </w:t>
            </w:r>
          </w:p>
          <w:p w14:paraId="5E276279" w14:textId="77777777" w:rsidR="004D31AD" w:rsidRPr="004D31AD" w:rsidRDefault="004D31AD" w:rsidP="004D31AD">
            <w:pPr>
              <w:pStyle w:val="ListParagraph"/>
              <w:spacing w:after="200" w:line="276" w:lineRule="auto"/>
              <w:rPr>
                <w:rFonts w:ascii="Arial" w:hAnsi="Arial" w:cs="Arial"/>
              </w:rPr>
            </w:pPr>
          </w:p>
          <w:p w14:paraId="566BCE52" w14:textId="77777777" w:rsidR="004D31AD" w:rsidRDefault="004D31AD" w:rsidP="004D31AD">
            <w:pPr>
              <w:pStyle w:val="ListParagraph"/>
              <w:numPr>
                <w:ilvl w:val="0"/>
                <w:numId w:val="15"/>
              </w:numPr>
              <w:spacing w:after="200" w:line="276" w:lineRule="auto"/>
              <w:rPr>
                <w:rFonts w:ascii="Arial" w:hAnsi="Arial" w:cs="Arial"/>
              </w:rPr>
            </w:pPr>
            <w:r>
              <w:rPr>
                <w:rFonts w:ascii="Arial" w:hAnsi="Arial" w:cs="Arial"/>
              </w:rPr>
              <w:t xml:space="preserve">The effectiveness of the setting’s ability to safeguard learners in respect to filtering and monitoring, information security and access management </w:t>
            </w:r>
            <w:r w:rsidRPr="6A967F24">
              <w:rPr>
                <w:rFonts w:ascii="Arial" w:hAnsi="Arial" w:cs="Arial"/>
              </w:rPr>
              <w:t>alongside</w:t>
            </w:r>
            <w:r>
              <w:rPr>
                <w:rFonts w:ascii="Arial" w:hAnsi="Arial" w:cs="Arial"/>
              </w:rPr>
              <w:t xml:space="preserve"> the above will be reviewed annually </w:t>
            </w:r>
            <w:r w:rsidRPr="00AB4369">
              <w:rPr>
                <w:rFonts w:ascii="Arial" w:hAnsi="Arial" w:cs="Arial"/>
                <w:highlight w:val="green"/>
              </w:rPr>
              <w:t xml:space="preserve">in line with the digital and technology standards in schools and colleges. </w:t>
            </w:r>
            <w:hyperlink r:id="rId13" w:history="1">
              <w:r w:rsidRPr="00AB4369">
                <w:rPr>
                  <w:rStyle w:val="Hyperlink"/>
                  <w:rFonts w:ascii="Arial" w:hAnsi="Arial" w:cs="Arial"/>
                  <w:highlight w:val="green"/>
                </w:rPr>
                <w:t>Meeting digital and technology standards in schools and colleges - Filtering and monitoring standards for schools and colleges - Guidance - GOV.UK (www.gov.uk)</w:t>
              </w:r>
            </w:hyperlink>
          </w:p>
          <w:p w14:paraId="7FBBB89F" w14:textId="5D49939E" w:rsidR="00377E93" w:rsidRDefault="00377E93" w:rsidP="7AFCA51C">
            <w:pPr>
              <w:pStyle w:val="Default"/>
              <w:spacing w:line="276" w:lineRule="auto"/>
              <w:rPr>
                <w:rFonts w:eastAsia="Arial"/>
                <w:sz w:val="20"/>
                <w:szCs w:val="20"/>
              </w:rPr>
            </w:pPr>
          </w:p>
        </w:tc>
        <w:tc>
          <w:tcPr>
            <w:tcW w:w="3177" w:type="dxa"/>
          </w:tcPr>
          <w:p w14:paraId="701D4BDE" w14:textId="77777777" w:rsidR="004D3A6D" w:rsidRDefault="004D3A6D" w:rsidP="7AFCA51C">
            <w:pPr>
              <w:rPr>
                <w:rFonts w:ascii="Arial" w:eastAsia="Arial" w:hAnsi="Arial" w:cs="Arial"/>
                <w:color w:val="000000" w:themeColor="text1"/>
                <w:sz w:val="20"/>
                <w:szCs w:val="20"/>
              </w:rPr>
            </w:pPr>
          </w:p>
          <w:p w14:paraId="67D21228" w14:textId="77777777" w:rsidR="004D3A6D" w:rsidRDefault="004D3A6D" w:rsidP="00B72CCA">
            <w:pPr>
              <w:rPr>
                <w:rFonts w:ascii="Arial" w:eastAsia="Arial" w:hAnsi="Arial" w:cs="Arial"/>
                <w:color w:val="000000" w:themeColor="text1"/>
                <w:sz w:val="20"/>
                <w:szCs w:val="20"/>
              </w:rPr>
            </w:pPr>
          </w:p>
          <w:p w14:paraId="49D85EAB" w14:textId="77777777" w:rsidR="00377E93" w:rsidRDefault="00377E93" w:rsidP="00B72CCA">
            <w:pPr>
              <w:rPr>
                <w:rFonts w:ascii="Arial" w:eastAsia="Arial" w:hAnsi="Arial" w:cs="Arial"/>
                <w:color w:val="000000" w:themeColor="text1"/>
                <w:sz w:val="20"/>
                <w:szCs w:val="20"/>
              </w:rPr>
            </w:pPr>
          </w:p>
          <w:p w14:paraId="0B51FC03" w14:textId="77777777" w:rsidR="00377E93" w:rsidRDefault="00377E93" w:rsidP="00377E93">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To reflect updated statutory </w:t>
            </w:r>
            <w:proofErr w:type="gramStart"/>
            <w:r>
              <w:rPr>
                <w:rFonts w:ascii="Arial" w:eastAsia="Arial" w:hAnsi="Arial" w:cs="Arial"/>
                <w:color w:val="000000" w:themeColor="text1"/>
                <w:sz w:val="20"/>
                <w:szCs w:val="20"/>
              </w:rPr>
              <w:t>guidance</w:t>
            </w:r>
            <w:proofErr w:type="gramEnd"/>
          </w:p>
          <w:p w14:paraId="3A792230" w14:textId="010F7A6D" w:rsidR="00377E93" w:rsidRDefault="00377E93" w:rsidP="00B72CCA">
            <w:pPr>
              <w:rPr>
                <w:rFonts w:ascii="Arial" w:eastAsia="Arial" w:hAnsi="Arial" w:cs="Arial"/>
                <w:color w:val="000000" w:themeColor="text1"/>
                <w:sz w:val="20"/>
                <w:szCs w:val="20"/>
              </w:rPr>
            </w:pPr>
          </w:p>
        </w:tc>
        <w:tc>
          <w:tcPr>
            <w:tcW w:w="491" w:type="dxa"/>
          </w:tcPr>
          <w:p w14:paraId="13A3E9DE" w14:textId="3903937A" w:rsidR="004D3A6D" w:rsidRDefault="004D3A6D" w:rsidP="7AFCA51C">
            <w:pPr>
              <w:rPr>
                <w:rFonts w:ascii="Arial" w:eastAsia="Arial" w:hAnsi="Arial" w:cs="Arial"/>
                <w:color w:val="000000" w:themeColor="text1"/>
                <w:sz w:val="20"/>
                <w:szCs w:val="20"/>
              </w:rPr>
            </w:pPr>
          </w:p>
        </w:tc>
      </w:tr>
      <w:tr w:rsidR="004D3A6D" w:rsidRPr="00D16C16" w14:paraId="445BFA40" w14:textId="77777777" w:rsidTr="50AE2620">
        <w:trPr>
          <w:trHeight w:val="600"/>
        </w:trPr>
        <w:tc>
          <w:tcPr>
            <w:tcW w:w="1135" w:type="dxa"/>
          </w:tcPr>
          <w:p w14:paraId="67BCD9C2" w14:textId="219750E8" w:rsidR="004D3A6D" w:rsidRPr="00D16C16" w:rsidRDefault="00BF6CCE" w:rsidP="00D16C16">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Appendix F </w:t>
            </w:r>
          </w:p>
        </w:tc>
        <w:tc>
          <w:tcPr>
            <w:tcW w:w="4643" w:type="dxa"/>
          </w:tcPr>
          <w:p w14:paraId="53A7764E" w14:textId="440AA026" w:rsidR="004D3A6D" w:rsidRDefault="00624436" w:rsidP="00D16C16">
            <w:pPr>
              <w:rPr>
                <w:rFonts w:ascii="Arial" w:eastAsia="Arial" w:hAnsi="Arial" w:cs="Arial"/>
                <w:color w:val="000000" w:themeColor="text1"/>
                <w:sz w:val="20"/>
                <w:szCs w:val="20"/>
              </w:rPr>
            </w:pPr>
            <w:r w:rsidRPr="00624436">
              <w:rPr>
                <w:rFonts w:ascii="Arial" w:eastAsia="Arial" w:hAnsi="Arial" w:cs="Arial"/>
                <w:color w:val="000000" w:themeColor="text1"/>
                <w:sz w:val="20"/>
                <w:szCs w:val="20"/>
                <w:highlight w:val="green"/>
              </w:rPr>
              <w:t>Adde</w:t>
            </w:r>
            <w:r w:rsidRPr="008C7FE4">
              <w:rPr>
                <w:rFonts w:ascii="Arial" w:eastAsia="Arial" w:hAnsi="Arial" w:cs="Arial"/>
                <w:color w:val="000000" w:themeColor="text1"/>
                <w:sz w:val="20"/>
                <w:szCs w:val="20"/>
                <w:highlight w:val="green"/>
              </w:rPr>
              <w:t>d</w:t>
            </w:r>
            <w:r w:rsidR="008C7FE4">
              <w:rPr>
                <w:rFonts w:ascii="Arial" w:eastAsia="Arial" w:hAnsi="Arial" w:cs="Arial"/>
                <w:color w:val="000000" w:themeColor="text1"/>
                <w:sz w:val="20"/>
                <w:szCs w:val="20"/>
                <w:highlight w:val="green"/>
              </w:rPr>
              <w:t xml:space="preserve"> to</w:t>
            </w:r>
            <w:r w:rsidRPr="008C7FE4">
              <w:rPr>
                <w:rFonts w:ascii="Arial" w:eastAsia="Arial" w:hAnsi="Arial" w:cs="Arial"/>
                <w:color w:val="000000" w:themeColor="text1"/>
                <w:sz w:val="20"/>
                <w:szCs w:val="20"/>
                <w:highlight w:val="green"/>
              </w:rPr>
              <w:t xml:space="preserve"> Covid 19 Addendum Policy in th</w:t>
            </w:r>
            <w:r w:rsidR="008C7FE4" w:rsidRPr="008C7FE4">
              <w:rPr>
                <w:rFonts w:ascii="Arial" w:eastAsia="Arial" w:hAnsi="Arial" w:cs="Arial"/>
                <w:color w:val="000000" w:themeColor="text1"/>
                <w:sz w:val="20"/>
                <w:szCs w:val="20"/>
                <w:highlight w:val="green"/>
              </w:rPr>
              <w:t xml:space="preserve">e event of </w:t>
            </w:r>
            <w:proofErr w:type="gramStart"/>
            <w:r w:rsidR="008C7FE4" w:rsidRPr="008C7FE4">
              <w:rPr>
                <w:rFonts w:ascii="Arial" w:eastAsia="Arial" w:hAnsi="Arial" w:cs="Arial"/>
                <w:color w:val="000000" w:themeColor="text1"/>
                <w:sz w:val="20"/>
                <w:szCs w:val="20"/>
                <w:highlight w:val="green"/>
              </w:rPr>
              <w:t>lockdown</w:t>
            </w:r>
            <w:proofErr w:type="gramEnd"/>
            <w:r>
              <w:rPr>
                <w:rFonts w:ascii="Arial" w:eastAsia="Arial" w:hAnsi="Arial" w:cs="Arial"/>
                <w:color w:val="000000" w:themeColor="text1"/>
                <w:sz w:val="20"/>
                <w:szCs w:val="20"/>
              </w:rPr>
              <w:t xml:space="preserve"> </w:t>
            </w:r>
          </w:p>
          <w:p w14:paraId="7291D254" w14:textId="77777777" w:rsidR="00624436" w:rsidRDefault="00624436" w:rsidP="00D16C16">
            <w:pPr>
              <w:rPr>
                <w:rFonts w:ascii="Arial" w:eastAsia="Arial" w:hAnsi="Arial" w:cs="Arial"/>
                <w:color w:val="000000" w:themeColor="text1"/>
                <w:sz w:val="20"/>
                <w:szCs w:val="20"/>
              </w:rPr>
            </w:pPr>
          </w:p>
          <w:p w14:paraId="28A10578" w14:textId="77777777" w:rsidR="00624436" w:rsidRPr="00123C6F" w:rsidRDefault="00624436" w:rsidP="00624436">
            <w:pPr>
              <w:pStyle w:val="Default"/>
              <w:spacing w:after="196" w:line="276" w:lineRule="auto"/>
              <w:jc w:val="both"/>
              <w:rPr>
                <w:b/>
                <w:bCs/>
              </w:rPr>
            </w:pPr>
            <w:r w:rsidRPr="00624436">
              <w:rPr>
                <w:b/>
                <w:bCs/>
                <w:highlight w:val="green"/>
              </w:rPr>
              <w:t xml:space="preserve">Setting to add their own </w:t>
            </w:r>
            <w:proofErr w:type="gramStart"/>
            <w:r w:rsidRPr="00624436">
              <w:rPr>
                <w:b/>
                <w:bCs/>
                <w:highlight w:val="green"/>
              </w:rPr>
              <w:t>link</w:t>
            </w:r>
            <w:proofErr w:type="gramEnd"/>
          </w:p>
          <w:p w14:paraId="1EC3B5E5" w14:textId="5A726B78" w:rsidR="00624436" w:rsidRPr="00D16C16" w:rsidRDefault="00624436" w:rsidP="00D16C16">
            <w:pPr>
              <w:rPr>
                <w:rFonts w:ascii="Arial" w:eastAsia="Arial" w:hAnsi="Arial" w:cs="Arial"/>
                <w:color w:val="000000" w:themeColor="text1"/>
                <w:sz w:val="20"/>
                <w:szCs w:val="20"/>
              </w:rPr>
            </w:pPr>
          </w:p>
        </w:tc>
        <w:tc>
          <w:tcPr>
            <w:tcW w:w="3177" w:type="dxa"/>
          </w:tcPr>
          <w:p w14:paraId="2EF47012" w14:textId="77777777" w:rsidR="004D3A6D" w:rsidRDefault="004D3A6D" w:rsidP="7AFCA51C">
            <w:pPr>
              <w:rPr>
                <w:rFonts w:ascii="Arial" w:eastAsia="Arial" w:hAnsi="Arial" w:cs="Arial"/>
                <w:color w:val="000000" w:themeColor="text1"/>
                <w:sz w:val="20"/>
                <w:szCs w:val="20"/>
              </w:rPr>
            </w:pPr>
          </w:p>
          <w:p w14:paraId="75E19FC6" w14:textId="6E9B51EE" w:rsidR="004D3A6D" w:rsidRPr="00D16C16" w:rsidRDefault="004D3A6D" w:rsidP="00D16C16">
            <w:pPr>
              <w:rPr>
                <w:rFonts w:ascii="Arial" w:eastAsia="Arial" w:hAnsi="Arial" w:cs="Arial"/>
                <w:color w:val="000000" w:themeColor="text1"/>
                <w:sz w:val="20"/>
                <w:szCs w:val="20"/>
              </w:rPr>
            </w:pPr>
          </w:p>
        </w:tc>
        <w:tc>
          <w:tcPr>
            <w:tcW w:w="491" w:type="dxa"/>
          </w:tcPr>
          <w:p w14:paraId="14686F6B" w14:textId="3F7ACF5A" w:rsidR="004D3A6D" w:rsidRPr="00D16C16" w:rsidRDefault="004D3A6D" w:rsidP="00D16C16">
            <w:pPr>
              <w:rPr>
                <w:rFonts w:ascii="Arial" w:eastAsia="Arial" w:hAnsi="Arial" w:cs="Arial"/>
                <w:color w:val="000000" w:themeColor="text1"/>
                <w:sz w:val="20"/>
                <w:szCs w:val="20"/>
              </w:rPr>
            </w:pPr>
          </w:p>
        </w:tc>
      </w:tr>
    </w:tbl>
    <w:p w14:paraId="5E5787A5" w14:textId="2F6D40BB" w:rsidR="00823820" w:rsidRDefault="00823820" w:rsidP="7AFCA51C"/>
    <w:sectPr w:rsidR="00823820">
      <w:head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9065C" w14:textId="77777777" w:rsidR="00A047F5" w:rsidRDefault="00A047F5" w:rsidP="00A96105">
      <w:pPr>
        <w:spacing w:after="0" w:line="240" w:lineRule="auto"/>
      </w:pPr>
      <w:r>
        <w:separator/>
      </w:r>
    </w:p>
  </w:endnote>
  <w:endnote w:type="continuationSeparator" w:id="0">
    <w:p w14:paraId="55889A57" w14:textId="77777777" w:rsidR="00A047F5" w:rsidRDefault="00A047F5" w:rsidP="00A96105">
      <w:pPr>
        <w:spacing w:after="0" w:line="240" w:lineRule="auto"/>
      </w:pPr>
      <w:r>
        <w:continuationSeparator/>
      </w:r>
    </w:p>
  </w:endnote>
  <w:endnote w:type="continuationNotice" w:id="1">
    <w:p w14:paraId="355DAEBD" w14:textId="77777777" w:rsidR="00A047F5" w:rsidRDefault="00A04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AF66" w14:textId="77777777" w:rsidR="00A047F5" w:rsidRDefault="00A047F5" w:rsidP="00A96105">
      <w:pPr>
        <w:spacing w:after="0" w:line="240" w:lineRule="auto"/>
      </w:pPr>
      <w:r>
        <w:separator/>
      </w:r>
    </w:p>
  </w:footnote>
  <w:footnote w:type="continuationSeparator" w:id="0">
    <w:p w14:paraId="285874F0" w14:textId="77777777" w:rsidR="00A047F5" w:rsidRDefault="00A047F5" w:rsidP="00A96105">
      <w:pPr>
        <w:spacing w:after="0" w:line="240" w:lineRule="auto"/>
      </w:pPr>
      <w:r>
        <w:continuationSeparator/>
      </w:r>
    </w:p>
  </w:footnote>
  <w:footnote w:type="continuationNotice" w:id="1">
    <w:p w14:paraId="3D1E564F" w14:textId="77777777" w:rsidR="00A047F5" w:rsidRDefault="00A04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B307" w14:textId="0E1E374A" w:rsidR="00A96105" w:rsidRDefault="00A96105">
    <w:pPr>
      <w:pStyle w:val="Header"/>
    </w:pPr>
    <w:r>
      <w:rPr>
        <w:noProof/>
      </w:rPr>
      <w:drawing>
        <wp:anchor distT="0" distB="0" distL="114300" distR="114300" simplePos="0" relativeHeight="251658241" behindDoc="1" locked="0" layoutInCell="1" allowOverlap="1" wp14:anchorId="383BC835" wp14:editId="474D599A">
          <wp:simplePos x="0" y="0"/>
          <wp:positionH relativeFrom="column">
            <wp:posOffset>4740471</wp:posOffset>
          </wp:positionH>
          <wp:positionV relativeFrom="paragraph">
            <wp:posOffset>-253218</wp:posOffset>
          </wp:positionV>
          <wp:extent cx="1714604" cy="581347"/>
          <wp:effectExtent l="0" t="0" r="0" b="9525"/>
          <wp:wrapTight wrapText="bothSides">
            <wp:wrapPolygon edited="0">
              <wp:start x="0" y="0"/>
              <wp:lineTo x="0" y="21246"/>
              <wp:lineTo x="21360" y="21246"/>
              <wp:lineTo x="21360" y="0"/>
              <wp:lineTo x="0" y="0"/>
            </wp:wrapPolygon>
          </wp:wrapTight>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14604" cy="581347"/>
                  </a:xfrm>
                  <a:prstGeom prst="rect">
                    <a:avLst/>
                  </a:prstGeom>
                </pic:spPr>
              </pic:pic>
            </a:graphicData>
          </a:graphic>
        </wp:anchor>
      </w:drawing>
    </w:r>
    <w:r>
      <w:rPr>
        <w:noProof/>
      </w:rPr>
      <w:drawing>
        <wp:anchor distT="0" distB="0" distL="114300" distR="114300" simplePos="0" relativeHeight="251658240" behindDoc="1" locked="0" layoutInCell="1" allowOverlap="1" wp14:anchorId="4ECA6A33" wp14:editId="54A1FDC4">
          <wp:simplePos x="0" y="0"/>
          <wp:positionH relativeFrom="column">
            <wp:posOffset>-724486</wp:posOffset>
          </wp:positionH>
          <wp:positionV relativeFrom="paragraph">
            <wp:posOffset>-358726</wp:posOffset>
          </wp:positionV>
          <wp:extent cx="3601329" cy="732953"/>
          <wp:effectExtent l="0" t="0" r="0" b="0"/>
          <wp:wrapTight wrapText="bothSides">
            <wp:wrapPolygon edited="0">
              <wp:start x="0" y="0"/>
              <wp:lineTo x="0" y="20776"/>
              <wp:lineTo x="21482" y="20776"/>
              <wp:lineTo x="21482" y="0"/>
              <wp:lineTo x="0" y="0"/>
            </wp:wrapPolygon>
          </wp:wrapTight>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3601329" cy="73295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9C3F"/>
    <w:multiLevelType w:val="hybridMultilevel"/>
    <w:tmpl w:val="50BC8B72"/>
    <w:lvl w:ilvl="0" w:tplc="0DF27A5A">
      <w:start w:val="1"/>
      <w:numFmt w:val="bullet"/>
      <w:lvlText w:val="-"/>
      <w:lvlJc w:val="left"/>
      <w:pPr>
        <w:ind w:left="410" w:hanging="360"/>
      </w:pPr>
      <w:rPr>
        <w:rFonts w:ascii="Calibri" w:hAnsi="Calibri" w:hint="default"/>
      </w:rPr>
    </w:lvl>
    <w:lvl w:ilvl="1" w:tplc="7374BA2C">
      <w:start w:val="1"/>
      <w:numFmt w:val="bullet"/>
      <w:lvlText w:val="o"/>
      <w:lvlJc w:val="left"/>
      <w:pPr>
        <w:ind w:left="1440" w:hanging="360"/>
      </w:pPr>
      <w:rPr>
        <w:rFonts w:ascii="Courier New" w:hAnsi="Courier New" w:hint="default"/>
      </w:rPr>
    </w:lvl>
    <w:lvl w:ilvl="2" w:tplc="9EF6D696">
      <w:start w:val="1"/>
      <w:numFmt w:val="bullet"/>
      <w:lvlText w:val=""/>
      <w:lvlJc w:val="left"/>
      <w:pPr>
        <w:ind w:left="2160" w:hanging="360"/>
      </w:pPr>
      <w:rPr>
        <w:rFonts w:ascii="Wingdings" w:hAnsi="Wingdings" w:hint="default"/>
      </w:rPr>
    </w:lvl>
    <w:lvl w:ilvl="3" w:tplc="F19A2F76">
      <w:start w:val="1"/>
      <w:numFmt w:val="bullet"/>
      <w:lvlText w:val=""/>
      <w:lvlJc w:val="left"/>
      <w:pPr>
        <w:ind w:left="2880" w:hanging="360"/>
      </w:pPr>
      <w:rPr>
        <w:rFonts w:ascii="Symbol" w:hAnsi="Symbol" w:hint="default"/>
      </w:rPr>
    </w:lvl>
    <w:lvl w:ilvl="4" w:tplc="50DC7970">
      <w:start w:val="1"/>
      <w:numFmt w:val="bullet"/>
      <w:lvlText w:val="o"/>
      <w:lvlJc w:val="left"/>
      <w:pPr>
        <w:ind w:left="3600" w:hanging="360"/>
      </w:pPr>
      <w:rPr>
        <w:rFonts w:ascii="Courier New" w:hAnsi="Courier New" w:hint="default"/>
      </w:rPr>
    </w:lvl>
    <w:lvl w:ilvl="5" w:tplc="25C6865A">
      <w:start w:val="1"/>
      <w:numFmt w:val="bullet"/>
      <w:lvlText w:val=""/>
      <w:lvlJc w:val="left"/>
      <w:pPr>
        <w:ind w:left="4320" w:hanging="360"/>
      </w:pPr>
      <w:rPr>
        <w:rFonts w:ascii="Wingdings" w:hAnsi="Wingdings" w:hint="default"/>
      </w:rPr>
    </w:lvl>
    <w:lvl w:ilvl="6" w:tplc="B09A7D80">
      <w:start w:val="1"/>
      <w:numFmt w:val="bullet"/>
      <w:lvlText w:val=""/>
      <w:lvlJc w:val="left"/>
      <w:pPr>
        <w:ind w:left="5040" w:hanging="360"/>
      </w:pPr>
      <w:rPr>
        <w:rFonts w:ascii="Symbol" w:hAnsi="Symbol" w:hint="default"/>
      </w:rPr>
    </w:lvl>
    <w:lvl w:ilvl="7" w:tplc="31947D36">
      <w:start w:val="1"/>
      <w:numFmt w:val="bullet"/>
      <w:lvlText w:val="o"/>
      <w:lvlJc w:val="left"/>
      <w:pPr>
        <w:ind w:left="5760" w:hanging="360"/>
      </w:pPr>
      <w:rPr>
        <w:rFonts w:ascii="Courier New" w:hAnsi="Courier New" w:hint="default"/>
      </w:rPr>
    </w:lvl>
    <w:lvl w:ilvl="8" w:tplc="1D0232FE">
      <w:start w:val="1"/>
      <w:numFmt w:val="bullet"/>
      <w:lvlText w:val=""/>
      <w:lvlJc w:val="left"/>
      <w:pPr>
        <w:ind w:left="6480" w:hanging="360"/>
      </w:pPr>
      <w:rPr>
        <w:rFonts w:ascii="Wingdings" w:hAnsi="Wingdings" w:hint="default"/>
      </w:rPr>
    </w:lvl>
  </w:abstractNum>
  <w:abstractNum w:abstractNumId="1"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D697B80"/>
    <w:multiLevelType w:val="hybridMultilevel"/>
    <w:tmpl w:val="CA46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5020915"/>
    <w:multiLevelType w:val="hybridMultilevel"/>
    <w:tmpl w:val="23BC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B47C0"/>
    <w:multiLevelType w:val="hybridMultilevel"/>
    <w:tmpl w:val="8828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802C7D"/>
    <w:multiLevelType w:val="hybridMultilevel"/>
    <w:tmpl w:val="B964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8FFDE"/>
    <w:multiLevelType w:val="hybridMultilevel"/>
    <w:tmpl w:val="DC5AE1AE"/>
    <w:lvl w:ilvl="0" w:tplc="94867B92">
      <w:start w:val="1"/>
      <w:numFmt w:val="bullet"/>
      <w:lvlText w:val=""/>
      <w:lvlJc w:val="left"/>
      <w:pPr>
        <w:ind w:left="780" w:hanging="360"/>
      </w:pPr>
      <w:rPr>
        <w:rFonts w:ascii="Wingdings" w:hAnsi="Wingdings" w:hint="default"/>
      </w:rPr>
    </w:lvl>
    <w:lvl w:ilvl="1" w:tplc="F5F0923C">
      <w:start w:val="1"/>
      <w:numFmt w:val="bullet"/>
      <w:lvlText w:val="o"/>
      <w:lvlJc w:val="left"/>
      <w:pPr>
        <w:ind w:left="1440" w:hanging="360"/>
      </w:pPr>
      <w:rPr>
        <w:rFonts w:ascii="Courier New" w:hAnsi="Courier New" w:hint="default"/>
      </w:rPr>
    </w:lvl>
    <w:lvl w:ilvl="2" w:tplc="6BF052D0">
      <w:start w:val="1"/>
      <w:numFmt w:val="bullet"/>
      <w:lvlText w:val=""/>
      <w:lvlJc w:val="left"/>
      <w:pPr>
        <w:ind w:left="2160" w:hanging="360"/>
      </w:pPr>
      <w:rPr>
        <w:rFonts w:ascii="Wingdings" w:hAnsi="Wingdings" w:hint="default"/>
      </w:rPr>
    </w:lvl>
    <w:lvl w:ilvl="3" w:tplc="8A7AF09A">
      <w:start w:val="1"/>
      <w:numFmt w:val="bullet"/>
      <w:lvlText w:val=""/>
      <w:lvlJc w:val="left"/>
      <w:pPr>
        <w:ind w:left="2880" w:hanging="360"/>
      </w:pPr>
      <w:rPr>
        <w:rFonts w:ascii="Symbol" w:hAnsi="Symbol" w:hint="default"/>
      </w:rPr>
    </w:lvl>
    <w:lvl w:ilvl="4" w:tplc="E3E8CEB4">
      <w:start w:val="1"/>
      <w:numFmt w:val="bullet"/>
      <w:lvlText w:val="o"/>
      <w:lvlJc w:val="left"/>
      <w:pPr>
        <w:ind w:left="3600" w:hanging="360"/>
      </w:pPr>
      <w:rPr>
        <w:rFonts w:ascii="Courier New" w:hAnsi="Courier New" w:hint="default"/>
      </w:rPr>
    </w:lvl>
    <w:lvl w:ilvl="5" w:tplc="677A2E12">
      <w:start w:val="1"/>
      <w:numFmt w:val="bullet"/>
      <w:lvlText w:val=""/>
      <w:lvlJc w:val="left"/>
      <w:pPr>
        <w:ind w:left="4320" w:hanging="360"/>
      </w:pPr>
      <w:rPr>
        <w:rFonts w:ascii="Wingdings" w:hAnsi="Wingdings" w:hint="default"/>
      </w:rPr>
    </w:lvl>
    <w:lvl w:ilvl="6" w:tplc="CF600AF0">
      <w:start w:val="1"/>
      <w:numFmt w:val="bullet"/>
      <w:lvlText w:val=""/>
      <w:lvlJc w:val="left"/>
      <w:pPr>
        <w:ind w:left="5040" w:hanging="360"/>
      </w:pPr>
      <w:rPr>
        <w:rFonts w:ascii="Symbol" w:hAnsi="Symbol" w:hint="default"/>
      </w:rPr>
    </w:lvl>
    <w:lvl w:ilvl="7" w:tplc="DDB0219A">
      <w:start w:val="1"/>
      <w:numFmt w:val="bullet"/>
      <w:lvlText w:val="o"/>
      <w:lvlJc w:val="left"/>
      <w:pPr>
        <w:ind w:left="5760" w:hanging="360"/>
      </w:pPr>
      <w:rPr>
        <w:rFonts w:ascii="Courier New" w:hAnsi="Courier New" w:hint="default"/>
      </w:rPr>
    </w:lvl>
    <w:lvl w:ilvl="8" w:tplc="758AC23E">
      <w:start w:val="1"/>
      <w:numFmt w:val="bullet"/>
      <w:lvlText w:val=""/>
      <w:lvlJc w:val="left"/>
      <w:pPr>
        <w:ind w:left="6480" w:hanging="360"/>
      </w:pPr>
      <w:rPr>
        <w:rFonts w:ascii="Wingdings" w:hAnsi="Wingdings" w:hint="default"/>
      </w:rPr>
    </w:lvl>
  </w:abstractNum>
  <w:abstractNum w:abstractNumId="11"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9C3090"/>
    <w:multiLevelType w:val="hybridMultilevel"/>
    <w:tmpl w:val="1020107E"/>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2C0971"/>
    <w:multiLevelType w:val="hybridMultilevel"/>
    <w:tmpl w:val="E13A2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9626071">
    <w:abstractNumId w:val="10"/>
  </w:num>
  <w:num w:numId="2" w16cid:durableId="2002584508">
    <w:abstractNumId w:val="0"/>
  </w:num>
  <w:num w:numId="3" w16cid:durableId="308247425">
    <w:abstractNumId w:val="13"/>
  </w:num>
  <w:num w:numId="4" w16cid:durableId="597517810">
    <w:abstractNumId w:val="1"/>
  </w:num>
  <w:num w:numId="5" w16cid:durableId="1312254750">
    <w:abstractNumId w:val="11"/>
  </w:num>
  <w:num w:numId="6" w16cid:durableId="1865090877">
    <w:abstractNumId w:val="2"/>
  </w:num>
  <w:num w:numId="7" w16cid:durableId="174810199">
    <w:abstractNumId w:val="12"/>
  </w:num>
  <w:num w:numId="8" w16cid:durableId="1712613496">
    <w:abstractNumId w:val="8"/>
  </w:num>
  <w:num w:numId="9" w16cid:durableId="153491609">
    <w:abstractNumId w:val="3"/>
  </w:num>
  <w:num w:numId="10" w16cid:durableId="83459696">
    <w:abstractNumId w:val="5"/>
  </w:num>
  <w:num w:numId="11" w16cid:durableId="1411271262">
    <w:abstractNumId w:val="9"/>
  </w:num>
  <w:num w:numId="12" w16cid:durableId="1687098912">
    <w:abstractNumId w:val="14"/>
  </w:num>
  <w:num w:numId="13" w16cid:durableId="1134903758">
    <w:abstractNumId w:val="4"/>
  </w:num>
  <w:num w:numId="14" w16cid:durableId="1377779322">
    <w:abstractNumId w:val="7"/>
  </w:num>
  <w:num w:numId="15" w16cid:durableId="16035366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175F15"/>
    <w:rsid w:val="000064AB"/>
    <w:rsid w:val="00011F71"/>
    <w:rsid w:val="00067F70"/>
    <w:rsid w:val="00070169"/>
    <w:rsid w:val="000D75C1"/>
    <w:rsid w:val="00103715"/>
    <w:rsid w:val="00107D8D"/>
    <w:rsid w:val="00113797"/>
    <w:rsid w:val="0013226A"/>
    <w:rsid w:val="001655F1"/>
    <w:rsid w:val="001802C4"/>
    <w:rsid w:val="001837F1"/>
    <w:rsid w:val="00192B73"/>
    <w:rsid w:val="001B7E62"/>
    <w:rsid w:val="001D1BA1"/>
    <w:rsid w:val="002177CF"/>
    <w:rsid w:val="00224766"/>
    <w:rsid w:val="002330D3"/>
    <w:rsid w:val="00256C86"/>
    <w:rsid w:val="00265DAE"/>
    <w:rsid w:val="00267C9D"/>
    <w:rsid w:val="0028320B"/>
    <w:rsid w:val="002A359A"/>
    <w:rsid w:val="002A6CA4"/>
    <w:rsid w:val="002B1DB8"/>
    <w:rsid w:val="002B4005"/>
    <w:rsid w:val="002D6318"/>
    <w:rsid w:val="002F7AB3"/>
    <w:rsid w:val="00321580"/>
    <w:rsid w:val="003433E2"/>
    <w:rsid w:val="00354BE8"/>
    <w:rsid w:val="003604DF"/>
    <w:rsid w:val="00364C1F"/>
    <w:rsid w:val="00371898"/>
    <w:rsid w:val="00374BA7"/>
    <w:rsid w:val="00376547"/>
    <w:rsid w:val="00377E93"/>
    <w:rsid w:val="00380C4D"/>
    <w:rsid w:val="00382C95"/>
    <w:rsid w:val="00383D99"/>
    <w:rsid w:val="003D5D8B"/>
    <w:rsid w:val="004030DA"/>
    <w:rsid w:val="0043200A"/>
    <w:rsid w:val="00447CA6"/>
    <w:rsid w:val="004569DB"/>
    <w:rsid w:val="00472FB4"/>
    <w:rsid w:val="00473FE1"/>
    <w:rsid w:val="00474B81"/>
    <w:rsid w:val="00480878"/>
    <w:rsid w:val="00483C05"/>
    <w:rsid w:val="00485EB0"/>
    <w:rsid w:val="004A0165"/>
    <w:rsid w:val="004A0BF4"/>
    <w:rsid w:val="004B19C5"/>
    <w:rsid w:val="004D2EAA"/>
    <w:rsid w:val="004D31AD"/>
    <w:rsid w:val="004D3A6D"/>
    <w:rsid w:val="004D69E6"/>
    <w:rsid w:val="004D7377"/>
    <w:rsid w:val="00507357"/>
    <w:rsid w:val="00520F4C"/>
    <w:rsid w:val="00533DAC"/>
    <w:rsid w:val="0054390C"/>
    <w:rsid w:val="005452CB"/>
    <w:rsid w:val="00552530"/>
    <w:rsid w:val="00555CC1"/>
    <w:rsid w:val="00562FDE"/>
    <w:rsid w:val="00597ACB"/>
    <w:rsid w:val="005A5C76"/>
    <w:rsid w:val="005E38ED"/>
    <w:rsid w:val="005F42FB"/>
    <w:rsid w:val="005F44AA"/>
    <w:rsid w:val="00613920"/>
    <w:rsid w:val="00624436"/>
    <w:rsid w:val="00635F9C"/>
    <w:rsid w:val="0066690C"/>
    <w:rsid w:val="00673EF4"/>
    <w:rsid w:val="006B0C8D"/>
    <w:rsid w:val="006D00AA"/>
    <w:rsid w:val="006D5058"/>
    <w:rsid w:val="006E2A1C"/>
    <w:rsid w:val="007127F0"/>
    <w:rsid w:val="00712ACC"/>
    <w:rsid w:val="00726BEA"/>
    <w:rsid w:val="007349C9"/>
    <w:rsid w:val="00742C55"/>
    <w:rsid w:val="0074744D"/>
    <w:rsid w:val="0077113C"/>
    <w:rsid w:val="00771377"/>
    <w:rsid w:val="00771CE3"/>
    <w:rsid w:val="00773434"/>
    <w:rsid w:val="007845C2"/>
    <w:rsid w:val="007B1B62"/>
    <w:rsid w:val="007C6199"/>
    <w:rsid w:val="007D41AB"/>
    <w:rsid w:val="007D45CD"/>
    <w:rsid w:val="007E595D"/>
    <w:rsid w:val="007F5C12"/>
    <w:rsid w:val="008128C7"/>
    <w:rsid w:val="008158DB"/>
    <w:rsid w:val="008216E6"/>
    <w:rsid w:val="00823820"/>
    <w:rsid w:val="00832BC3"/>
    <w:rsid w:val="008368E4"/>
    <w:rsid w:val="00845D0F"/>
    <w:rsid w:val="0084736A"/>
    <w:rsid w:val="00847B44"/>
    <w:rsid w:val="00852F20"/>
    <w:rsid w:val="0086051B"/>
    <w:rsid w:val="00864FA6"/>
    <w:rsid w:val="00881C4F"/>
    <w:rsid w:val="00882A00"/>
    <w:rsid w:val="00886000"/>
    <w:rsid w:val="00895DC6"/>
    <w:rsid w:val="008C240C"/>
    <w:rsid w:val="008C7FE4"/>
    <w:rsid w:val="008D6750"/>
    <w:rsid w:val="008E03C9"/>
    <w:rsid w:val="008E05BD"/>
    <w:rsid w:val="008E20D3"/>
    <w:rsid w:val="009529A1"/>
    <w:rsid w:val="00962C90"/>
    <w:rsid w:val="0097528F"/>
    <w:rsid w:val="009760CB"/>
    <w:rsid w:val="009811D7"/>
    <w:rsid w:val="009A671D"/>
    <w:rsid w:val="009E13FC"/>
    <w:rsid w:val="009F4F77"/>
    <w:rsid w:val="009F6168"/>
    <w:rsid w:val="00A047F5"/>
    <w:rsid w:val="00A45AF4"/>
    <w:rsid w:val="00A96105"/>
    <w:rsid w:val="00AA69B0"/>
    <w:rsid w:val="00AB3B0F"/>
    <w:rsid w:val="00AB4369"/>
    <w:rsid w:val="00AB5C34"/>
    <w:rsid w:val="00AC4A56"/>
    <w:rsid w:val="00AE3469"/>
    <w:rsid w:val="00B00357"/>
    <w:rsid w:val="00B010AA"/>
    <w:rsid w:val="00B302F5"/>
    <w:rsid w:val="00B64991"/>
    <w:rsid w:val="00B65669"/>
    <w:rsid w:val="00B72CCA"/>
    <w:rsid w:val="00B7357D"/>
    <w:rsid w:val="00B91BC9"/>
    <w:rsid w:val="00B93CD4"/>
    <w:rsid w:val="00B979C6"/>
    <w:rsid w:val="00BA600B"/>
    <w:rsid w:val="00BB597C"/>
    <w:rsid w:val="00BE328B"/>
    <w:rsid w:val="00BF0042"/>
    <w:rsid w:val="00BF4CA6"/>
    <w:rsid w:val="00BF6CCE"/>
    <w:rsid w:val="00C51DA4"/>
    <w:rsid w:val="00C5561B"/>
    <w:rsid w:val="00C7376A"/>
    <w:rsid w:val="00C802D8"/>
    <w:rsid w:val="00C84B24"/>
    <w:rsid w:val="00C91C12"/>
    <w:rsid w:val="00C9359A"/>
    <w:rsid w:val="00C95C9D"/>
    <w:rsid w:val="00CB018C"/>
    <w:rsid w:val="00CB05C8"/>
    <w:rsid w:val="00CB2DD3"/>
    <w:rsid w:val="00CD11C2"/>
    <w:rsid w:val="00CD1B0E"/>
    <w:rsid w:val="00CF04EA"/>
    <w:rsid w:val="00CF7A4F"/>
    <w:rsid w:val="00D127C1"/>
    <w:rsid w:val="00D16C16"/>
    <w:rsid w:val="00D2073B"/>
    <w:rsid w:val="00D40AF0"/>
    <w:rsid w:val="00D5018C"/>
    <w:rsid w:val="00DA2188"/>
    <w:rsid w:val="00DB273A"/>
    <w:rsid w:val="00DC0F4F"/>
    <w:rsid w:val="00DC1AEF"/>
    <w:rsid w:val="00DE0345"/>
    <w:rsid w:val="00DF4A7A"/>
    <w:rsid w:val="00E0239D"/>
    <w:rsid w:val="00E12564"/>
    <w:rsid w:val="00E36946"/>
    <w:rsid w:val="00E54C58"/>
    <w:rsid w:val="00E66AC8"/>
    <w:rsid w:val="00E94943"/>
    <w:rsid w:val="00EA28A3"/>
    <w:rsid w:val="00EA4A11"/>
    <w:rsid w:val="00EA5D09"/>
    <w:rsid w:val="00EC7E45"/>
    <w:rsid w:val="00ED2349"/>
    <w:rsid w:val="00EE0CEB"/>
    <w:rsid w:val="00EE4810"/>
    <w:rsid w:val="00F100CA"/>
    <w:rsid w:val="00F5776F"/>
    <w:rsid w:val="00F7665E"/>
    <w:rsid w:val="00F76FAB"/>
    <w:rsid w:val="00F878A6"/>
    <w:rsid w:val="00F93181"/>
    <w:rsid w:val="00F94DDE"/>
    <w:rsid w:val="00FA4358"/>
    <w:rsid w:val="00FA58B9"/>
    <w:rsid w:val="00FA7D9F"/>
    <w:rsid w:val="00FC116A"/>
    <w:rsid w:val="00FC13F4"/>
    <w:rsid w:val="00FC4A2F"/>
    <w:rsid w:val="00FE056F"/>
    <w:rsid w:val="00FF17F0"/>
    <w:rsid w:val="00FF3BB6"/>
    <w:rsid w:val="00FF7E56"/>
    <w:rsid w:val="197BE179"/>
    <w:rsid w:val="21E290F5"/>
    <w:rsid w:val="24432E42"/>
    <w:rsid w:val="24601084"/>
    <w:rsid w:val="26686EB5"/>
    <w:rsid w:val="429A5DB1"/>
    <w:rsid w:val="4746D1C4"/>
    <w:rsid w:val="4D175F15"/>
    <w:rsid w:val="4ED4DB4E"/>
    <w:rsid w:val="4F1255BF"/>
    <w:rsid w:val="50AE2620"/>
    <w:rsid w:val="53953B44"/>
    <w:rsid w:val="5495C1D6"/>
    <w:rsid w:val="54FF1FB0"/>
    <w:rsid w:val="5C86C6BC"/>
    <w:rsid w:val="64186A50"/>
    <w:rsid w:val="67CFB194"/>
    <w:rsid w:val="7AFCA5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75F15"/>
  <w15:chartTrackingRefBased/>
  <w15:docId w15:val="{82FDCE51-DD55-4434-AAC4-B8F18321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7CA6"/>
    <w:pPr>
      <w:keepNext/>
      <w:spacing w:after="0" w:line="240" w:lineRule="auto"/>
      <w:outlineLvl w:val="1"/>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7AFCA51C"/>
    <w:pPr>
      <w:spacing w:after="0"/>
    </w:pPr>
    <w:rPr>
      <w:rFonts w:ascii="Arial" w:hAnsi="Arial" w:cs="Arial"/>
      <w:color w:val="000000" w:themeColor="text1"/>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rsid w:val="00447CA6"/>
    <w:rPr>
      <w:rFonts w:ascii="Arial" w:eastAsia="Times New Roman" w:hAnsi="Arial" w:cs="Times New Roman"/>
      <w:b/>
      <w:sz w:val="24"/>
      <w:szCs w:val="20"/>
      <w:lang w:eastAsia="en-GB"/>
    </w:rPr>
  </w:style>
  <w:style w:type="character" w:styleId="CommentReference">
    <w:name w:val="annotation reference"/>
    <w:basedOn w:val="DefaultParagraphFont"/>
    <w:uiPriority w:val="99"/>
    <w:semiHidden/>
    <w:unhideWhenUsed/>
    <w:rsid w:val="00447CA6"/>
    <w:rPr>
      <w:sz w:val="16"/>
      <w:szCs w:val="16"/>
    </w:rPr>
  </w:style>
  <w:style w:type="character" w:styleId="Hyperlink">
    <w:name w:val="Hyperlink"/>
    <w:basedOn w:val="DefaultParagraphFont"/>
    <w:uiPriority w:val="99"/>
    <w:unhideWhenUsed/>
    <w:rsid w:val="00447CA6"/>
    <w:rPr>
      <w:color w:val="0563C1" w:themeColor="hyperlink"/>
      <w:u w:val="single"/>
    </w:rPr>
  </w:style>
  <w:style w:type="paragraph" w:styleId="PlainText">
    <w:name w:val="Plain Text"/>
    <w:basedOn w:val="Normal"/>
    <w:link w:val="PlainTextChar"/>
    <w:uiPriority w:val="99"/>
    <w:unhideWhenUsed/>
    <w:rsid w:val="002A6C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A6CA4"/>
    <w:rPr>
      <w:rFonts w:ascii="Calibri" w:hAnsi="Calibri"/>
      <w:szCs w:val="21"/>
    </w:rPr>
  </w:style>
  <w:style w:type="paragraph" w:styleId="CommentText">
    <w:name w:val="annotation text"/>
    <w:basedOn w:val="Normal"/>
    <w:link w:val="CommentTextChar"/>
    <w:uiPriority w:val="99"/>
    <w:unhideWhenUsed/>
    <w:rsid w:val="00507357"/>
    <w:pPr>
      <w:spacing w:after="200" w:line="240" w:lineRule="auto"/>
    </w:pPr>
    <w:rPr>
      <w:sz w:val="20"/>
      <w:szCs w:val="20"/>
    </w:rPr>
  </w:style>
  <w:style w:type="character" w:customStyle="1" w:styleId="CommentTextChar">
    <w:name w:val="Comment Text Char"/>
    <w:basedOn w:val="DefaultParagraphFont"/>
    <w:link w:val="CommentText"/>
    <w:uiPriority w:val="99"/>
    <w:rsid w:val="00507357"/>
    <w:rPr>
      <w:sz w:val="20"/>
      <w:szCs w:val="20"/>
    </w:rPr>
  </w:style>
  <w:style w:type="paragraph" w:styleId="Header">
    <w:name w:val="header"/>
    <w:basedOn w:val="Normal"/>
    <w:link w:val="HeaderChar"/>
    <w:uiPriority w:val="99"/>
    <w:unhideWhenUsed/>
    <w:rsid w:val="00A96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105"/>
  </w:style>
  <w:style w:type="paragraph" w:styleId="Footer">
    <w:name w:val="footer"/>
    <w:basedOn w:val="Normal"/>
    <w:link w:val="FooterChar"/>
    <w:uiPriority w:val="99"/>
    <w:unhideWhenUsed/>
    <w:rsid w:val="00A96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meeting-digital-and-technology-standards-in-schools-and-colleges/filtering-and-monitoring-standards-for-schools-and-colleg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Providing%20remote%20education:%20guidance%20for%20schools%20-%20GOV.UK%20(www.gov.uk).%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safeguarding-and-remote-education-during-coronavirus-covid-1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0" ma:contentTypeDescription="Create a new document." ma:contentTypeScope="" ma:versionID="a197f91229bd0f6f05a03b42d83628a6">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176c6a839aa059a660da16cf2f8b744b"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TaxCatchAll xmlns="9ad6a7e5-7e17-4c98-b3ab-518dd187e2c2" xsi:nil="true"/>
    <RetentionStartDate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0D5E2-5B07-43ED-BE5E-4261D6538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8D1CD-B307-4390-B055-ECE0140829CC}">
  <ds:schemaRefs>
    <ds:schemaRef ds:uri="http://purl.org/dc/terms/"/>
    <ds:schemaRef ds:uri="http://schemas.openxmlformats.org/package/2006/metadata/core-properties"/>
    <ds:schemaRef ds:uri="8dbe8c63-433b-43f3-9618-5953c00dffec"/>
    <ds:schemaRef ds:uri="http://schemas.microsoft.com/office/2006/documentManagement/types"/>
    <ds:schemaRef ds:uri="9ad6a7e5-7e17-4c98-b3ab-518dd187e2c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CAB138A-EF39-4076-8904-FC3446B60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Clark</dc:creator>
  <cp:keywords/>
  <dc:description/>
  <cp:lastModifiedBy>Henry Chan</cp:lastModifiedBy>
  <cp:revision>45</cp:revision>
  <dcterms:created xsi:type="dcterms:W3CDTF">2023-07-06T04:52:00Z</dcterms:created>
  <dcterms:modified xsi:type="dcterms:W3CDTF">2023-08-23T16:39:00Z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